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D3A" w:rsidRDefault="00D207E5">
      <w:pPr>
        <w:widowControl/>
        <w:shd w:val="clear" w:color="auto" w:fill="FFFFFF"/>
        <w:spacing w:line="56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深化国有林场改革推进现代林场建设的实施意见（征求意见稿）</w:t>
      </w:r>
    </w:p>
    <w:p w:rsidR="009F2D3A" w:rsidRPr="00A659CF" w:rsidRDefault="009F2D3A">
      <w:pPr>
        <w:ind w:firstLineChars="200" w:firstLine="640"/>
        <w:rPr>
          <w:rFonts w:ascii="仿宋" w:hAnsi="仿宋"/>
          <w:color w:val="000000" w:themeColor="text1"/>
          <w:sz w:val="32"/>
        </w:rPr>
      </w:pPr>
    </w:p>
    <w:p w:rsidR="009F2D3A" w:rsidRDefault="00D207E5">
      <w:pPr>
        <w:pStyle w:val="112"/>
        <w:ind w:firstLineChars="200" w:firstLine="640"/>
        <w:rPr>
          <w:rFonts w:ascii="仿宋" w:eastAsia="仿宋" w:hAnsi="仿宋" w:cs="仿宋"/>
          <w:color w:val="000000" w:themeColor="text1"/>
          <w:sz w:val="32"/>
          <w:szCs w:val="32"/>
        </w:rPr>
      </w:pPr>
      <w:r>
        <w:rPr>
          <w:rFonts w:ascii="仿宋" w:eastAsia="仿宋" w:hAnsi="仿宋" w:cs="仿宋" w:hint="eastAsia"/>
          <w:b w:val="0"/>
          <w:color w:val="000000" w:themeColor="text1"/>
          <w:sz w:val="32"/>
          <w:szCs w:val="32"/>
        </w:rPr>
        <w:t>国有林场是国家最重要的生态安全屏障和维护国家生态安全最重要的基础设施，在经济社会发展和生态文明建设中发挥着不可替代的重要作用。为贯彻落实党中央 国务院关于深化农村改革和深化集体林权制度改革等有关文件精神，完善《吉林省国有林场改革实施方案》（吉发〔2016〕23号）相关政策措施，深化国有林场改革，破解国有林场发展难题，释放国有林场发展活力，推进现代林场建设，经省委、省政府同意，现提出如下实施意见。</w:t>
      </w:r>
    </w:p>
    <w:p w:rsidR="009F2D3A" w:rsidRDefault="00D207E5">
      <w:pPr>
        <w:pStyle w:val="112"/>
        <w:ind w:firstLineChars="200" w:firstLine="643"/>
        <w:jc w:val="left"/>
        <w:rPr>
          <w:rFonts w:ascii="黑体" w:eastAsia="黑体" w:hAnsi="黑体"/>
          <w:color w:val="000000" w:themeColor="text1"/>
          <w:sz w:val="32"/>
        </w:rPr>
      </w:pPr>
      <w:r>
        <w:rPr>
          <w:rFonts w:ascii="黑体" w:eastAsia="黑体" w:hAnsi="黑体" w:hint="eastAsia"/>
          <w:color w:val="000000" w:themeColor="text1"/>
          <w:sz w:val="32"/>
        </w:rPr>
        <w:t>一、总体要求</w:t>
      </w:r>
    </w:p>
    <w:p w:rsidR="009F2D3A" w:rsidRDefault="00D207E5">
      <w:pPr>
        <w:spacing w:line="600" w:lineRule="exact"/>
        <w:ind w:firstLineChars="200" w:firstLine="640"/>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（一）指导思想</w:t>
      </w:r>
    </w:p>
    <w:p w:rsidR="009F2D3A" w:rsidRDefault="00D207E5">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以习近平新时代中国特色社会主义思想为指导，全面贯彻落实党的二十大精神，深入</w:t>
      </w:r>
      <w:proofErr w:type="gramStart"/>
      <w:r>
        <w:rPr>
          <w:rFonts w:ascii="仿宋" w:eastAsia="仿宋" w:hAnsi="仿宋" w:cs="仿宋" w:hint="eastAsia"/>
          <w:color w:val="000000" w:themeColor="text1"/>
          <w:sz w:val="32"/>
          <w:szCs w:val="32"/>
        </w:rPr>
        <w:t>践行</w:t>
      </w:r>
      <w:proofErr w:type="gramEnd"/>
      <w:r>
        <w:rPr>
          <w:rFonts w:ascii="仿宋" w:eastAsia="仿宋" w:hAnsi="仿宋" w:cs="仿宋" w:hint="eastAsia"/>
          <w:color w:val="000000" w:themeColor="text1"/>
          <w:sz w:val="32"/>
          <w:szCs w:val="32"/>
        </w:rPr>
        <w:t>绿水青山就是金山银山发展理念。坚持生态优先、保护为主，坚持问题导向、破解难题，坚持守正创新、释放活力，坚持试点先行、稳步推进，不断巩固国有林场改革成果，增强国有林场生态服务功能，提升国有林场治理体系和治理能力现代化水平，示范引领生态强省、林业强省建设，在中国式现代化建设的新征程中，推动吉林全面振兴取得新突破。</w:t>
      </w:r>
    </w:p>
    <w:p w:rsidR="009F2D3A" w:rsidRDefault="00D207E5">
      <w:pPr>
        <w:spacing w:line="600" w:lineRule="exact"/>
        <w:ind w:firstLineChars="200" w:firstLine="640"/>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（二）主要目标</w:t>
      </w:r>
    </w:p>
    <w:p w:rsidR="009F2D3A" w:rsidRDefault="00D207E5">
      <w:pPr>
        <w:widowControl/>
        <w:shd w:val="clear" w:color="auto" w:fill="FFFFFF"/>
        <w:spacing w:line="450" w:lineRule="atLeas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把国有林场建设成为体制机制</w:t>
      </w:r>
      <w:r>
        <w:rPr>
          <w:rFonts w:ascii="仿宋" w:eastAsia="仿宋" w:hAnsi="仿宋" w:cs="仿宋"/>
          <w:color w:val="000000" w:themeColor="text1"/>
          <w:sz w:val="32"/>
          <w:szCs w:val="32"/>
        </w:rPr>
        <w:t>健全</w:t>
      </w:r>
      <w:r>
        <w:rPr>
          <w:rFonts w:ascii="仿宋" w:eastAsia="仿宋" w:hAnsi="仿宋" w:cs="仿宋" w:hint="eastAsia"/>
          <w:color w:val="000000" w:themeColor="text1"/>
          <w:sz w:val="32"/>
          <w:szCs w:val="32"/>
        </w:rPr>
        <w:t>、人员精简高效、森林经营科学、资源保护有力、产业发展充分、基础设施完善、林区富裕和谐</w:t>
      </w:r>
      <w:r>
        <w:rPr>
          <w:rFonts w:ascii="仿宋" w:hAnsi="仿宋" w:hint="eastAsia"/>
          <w:color w:val="000000" w:themeColor="text1"/>
          <w:sz w:val="32"/>
        </w:rPr>
        <w:t>，</w:t>
      </w:r>
      <w:r>
        <w:rPr>
          <w:rFonts w:ascii="仿宋" w:eastAsia="仿宋" w:hAnsi="仿宋" w:cs="仿宋" w:hint="eastAsia"/>
          <w:color w:val="000000" w:themeColor="text1"/>
          <w:sz w:val="32"/>
          <w:szCs w:val="32"/>
        </w:rPr>
        <w:t>集绿色、文化、智慧、科技为一体的现代化国有林场。到2025年，全省现代国有林场试点单位率先实现现代化；到2030年，全省国有林场基本实现现代化；到2035年，全省国有林场全面实现现代化。</w:t>
      </w:r>
    </w:p>
    <w:p w:rsidR="009F2D3A" w:rsidRDefault="00D207E5">
      <w:pPr>
        <w:widowControl/>
        <w:shd w:val="clear" w:color="auto" w:fill="FFFFFF"/>
        <w:spacing w:line="450" w:lineRule="atLeas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二、健全完善国有林场体制机制</w:t>
      </w:r>
    </w:p>
    <w:p w:rsidR="009F2D3A" w:rsidRDefault="00D207E5">
      <w:pPr>
        <w:widowControl/>
        <w:shd w:val="clear" w:color="auto" w:fill="FFFFFF"/>
        <w:spacing w:line="450" w:lineRule="atLeast"/>
        <w:ind w:firstLineChars="200" w:firstLine="640"/>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（三）明确国有林场功能定位。</w:t>
      </w:r>
      <w:r>
        <w:rPr>
          <w:rFonts w:ascii="仿宋" w:eastAsia="仿宋" w:hAnsi="仿宋" w:cs="仿宋" w:hint="eastAsia"/>
          <w:color w:val="000000" w:themeColor="text1"/>
          <w:sz w:val="32"/>
          <w:szCs w:val="32"/>
        </w:rPr>
        <w:t>坚持“政事企”分开的国有林场改革方向，将</w:t>
      </w:r>
      <w:r>
        <w:rPr>
          <w:rFonts w:ascii="仿宋" w:eastAsia="仿宋" w:hAnsi="仿宋" w:cs="仿宋"/>
          <w:color w:val="000000" w:themeColor="text1"/>
          <w:sz w:val="32"/>
          <w:szCs w:val="32"/>
        </w:rPr>
        <w:t>国有林场主要功能明确定位为保护培育森林资源，提供生态公益服务，维护国家生态安全。</w:t>
      </w:r>
      <w:r>
        <w:rPr>
          <w:rFonts w:ascii="仿宋" w:eastAsia="仿宋" w:hAnsi="仿宋" w:cs="仿宋" w:hint="eastAsia"/>
          <w:color w:val="000000" w:themeColor="text1"/>
          <w:sz w:val="32"/>
          <w:szCs w:val="32"/>
        </w:rPr>
        <w:t>与功能</w:t>
      </w:r>
      <w:r>
        <w:rPr>
          <w:rFonts w:ascii="仿宋" w:eastAsia="仿宋" w:hAnsi="仿宋" w:cs="仿宋"/>
          <w:color w:val="000000" w:themeColor="text1"/>
          <w:sz w:val="32"/>
          <w:szCs w:val="32"/>
        </w:rPr>
        <w:t>定位相适应，明确森林资源保护的组织方式，</w:t>
      </w:r>
      <w:r>
        <w:rPr>
          <w:rFonts w:ascii="仿宋" w:eastAsia="仿宋" w:hAnsi="仿宋" w:cs="仿宋" w:hint="eastAsia"/>
          <w:color w:val="000000" w:themeColor="text1"/>
          <w:sz w:val="32"/>
          <w:szCs w:val="32"/>
        </w:rPr>
        <w:t>改革后设立</w:t>
      </w:r>
      <w:r>
        <w:rPr>
          <w:rFonts w:ascii="仿宋" w:eastAsia="仿宋" w:hAnsi="仿宋" w:cs="仿宋"/>
          <w:color w:val="000000" w:themeColor="text1"/>
          <w:sz w:val="32"/>
          <w:szCs w:val="32"/>
        </w:rPr>
        <w:t>的国有林管理机构为从事公益服务</w:t>
      </w:r>
      <w:r>
        <w:rPr>
          <w:rFonts w:ascii="仿宋" w:eastAsia="仿宋" w:hAnsi="仿宋" w:cs="仿宋" w:hint="eastAsia"/>
          <w:color w:val="000000" w:themeColor="text1"/>
          <w:sz w:val="32"/>
          <w:szCs w:val="32"/>
        </w:rPr>
        <w:t>事业</w:t>
      </w:r>
      <w:r>
        <w:rPr>
          <w:rFonts w:ascii="仿宋" w:eastAsia="仿宋" w:hAnsi="仿宋" w:cs="仿宋"/>
          <w:color w:val="000000" w:themeColor="text1"/>
          <w:sz w:val="32"/>
          <w:szCs w:val="32"/>
        </w:rPr>
        <w:t>单位。</w:t>
      </w:r>
    </w:p>
    <w:p w:rsidR="009F2D3A" w:rsidRDefault="00D207E5">
      <w:pPr>
        <w:widowControl/>
        <w:shd w:val="clear" w:color="auto" w:fill="FFFFFF"/>
        <w:spacing w:line="450" w:lineRule="atLeast"/>
        <w:ind w:firstLineChars="200" w:firstLine="640"/>
        <w:rPr>
          <w:rFonts w:ascii="仿宋" w:eastAsia="仿宋" w:hAnsi="仿宋" w:cs="仿宋"/>
          <w:color w:val="000000" w:themeColor="text1"/>
          <w:sz w:val="32"/>
          <w:szCs w:val="32"/>
        </w:rPr>
      </w:pPr>
      <w:r>
        <w:rPr>
          <w:rFonts w:ascii="楷体" w:eastAsia="楷体" w:hAnsi="楷体" w:cs="仿宋" w:hint="eastAsia"/>
          <w:bCs/>
          <w:color w:val="000000" w:themeColor="text1"/>
          <w:sz w:val="32"/>
          <w:szCs w:val="32"/>
        </w:rPr>
        <w:t>（四）完善国有林场管理体制。</w:t>
      </w:r>
      <w:r>
        <w:rPr>
          <w:rFonts w:ascii="仿宋" w:eastAsia="仿宋" w:hAnsi="仿宋" w:cs="仿宋" w:hint="eastAsia"/>
          <w:color w:val="000000" w:themeColor="text1"/>
          <w:sz w:val="32"/>
          <w:szCs w:val="32"/>
        </w:rPr>
        <w:t>保持国有林场隶属关系的基本稳定，县级以上林草主管部门按照行政隶属关系负责所属国有林场管理工作。合理优化国有林场管理层级，上级林草主管部门管理的国有林场不得下放管理，市辖区</w:t>
      </w:r>
      <w:proofErr w:type="gramStart"/>
      <w:r>
        <w:rPr>
          <w:rFonts w:ascii="仿宋" w:eastAsia="仿宋" w:hAnsi="仿宋" w:cs="仿宋" w:hint="eastAsia"/>
          <w:color w:val="000000" w:themeColor="text1"/>
          <w:sz w:val="32"/>
          <w:szCs w:val="32"/>
        </w:rPr>
        <w:t>属国有</w:t>
      </w:r>
      <w:proofErr w:type="gramEnd"/>
      <w:r>
        <w:rPr>
          <w:rFonts w:ascii="仿宋" w:eastAsia="仿宋" w:hAnsi="仿宋" w:cs="仿宋" w:hint="eastAsia"/>
          <w:color w:val="000000" w:themeColor="text1"/>
          <w:sz w:val="32"/>
          <w:szCs w:val="32"/>
        </w:rPr>
        <w:t>林场可以上划由市级林草主管部门管理，处于自然保护地内的国有林场可以划归保护地管理机构管理。一个县（市）有多个国有林保护中心的，可根据工作实际予以整合。（省委编办、省林草局及各级人民政府按职责分工负责）</w:t>
      </w:r>
    </w:p>
    <w:p w:rsidR="009F2D3A" w:rsidRDefault="00D207E5">
      <w:pPr>
        <w:widowControl/>
        <w:shd w:val="clear" w:color="auto" w:fill="FFFFFF"/>
        <w:spacing w:line="450" w:lineRule="atLeast"/>
        <w:ind w:firstLineChars="200" w:firstLine="640"/>
        <w:rPr>
          <w:rFonts w:ascii="仿宋" w:eastAsia="仿宋" w:hAnsi="仿宋"/>
          <w:bCs/>
          <w:sz w:val="32"/>
          <w:szCs w:val="32"/>
        </w:rPr>
      </w:pPr>
      <w:r>
        <w:rPr>
          <w:rFonts w:ascii="楷体" w:eastAsia="楷体" w:hAnsi="楷体" w:cs="仿宋" w:hint="eastAsia"/>
          <w:bCs/>
          <w:color w:val="000000" w:themeColor="text1"/>
          <w:sz w:val="32"/>
          <w:szCs w:val="32"/>
        </w:rPr>
        <w:t>（五）规范国有林场名称。</w:t>
      </w:r>
      <w:r>
        <w:rPr>
          <w:rFonts w:ascii="仿宋" w:eastAsia="仿宋" w:hAnsi="仿宋" w:cs="仿宋" w:hint="eastAsia"/>
          <w:color w:val="000000" w:themeColor="text1"/>
          <w:sz w:val="32"/>
          <w:szCs w:val="32"/>
        </w:rPr>
        <w:t>国有林保护中心统一更名为XX市（州）、县（市、区）XX国有林场或国有林总场；国有</w:t>
      </w:r>
      <w:r>
        <w:rPr>
          <w:rFonts w:ascii="仿宋" w:eastAsia="仿宋" w:hAnsi="仿宋" w:cs="仿宋" w:hint="eastAsia"/>
          <w:color w:val="000000" w:themeColor="text1"/>
          <w:sz w:val="32"/>
          <w:szCs w:val="32"/>
        </w:rPr>
        <w:lastRenderedPageBreak/>
        <w:t>林总场下属分场、保护站等统一更名为XX市（州）、县（市、区）国有林总场XX林场；企业性质国有林场实行公司制管理，统一变更为XX县（市、区）XX林业有限公司。</w:t>
      </w:r>
      <w:r>
        <w:rPr>
          <w:rFonts w:ascii="仿宋" w:eastAsia="仿宋" w:hAnsi="仿宋" w:hint="eastAsia"/>
          <w:bCs/>
          <w:sz w:val="32"/>
          <w:szCs w:val="32"/>
        </w:rPr>
        <w:t>（省委编办、省市场监督管理厅、省林草局及</w:t>
      </w:r>
      <w:r>
        <w:rPr>
          <w:rFonts w:ascii="仿宋" w:eastAsia="仿宋" w:hAnsi="仿宋" w:cs="仿宋" w:hint="eastAsia"/>
          <w:sz w:val="32"/>
          <w:szCs w:val="32"/>
        </w:rPr>
        <w:t>各级人民政府</w:t>
      </w:r>
      <w:r>
        <w:rPr>
          <w:rFonts w:ascii="仿宋" w:eastAsia="仿宋" w:hAnsi="仿宋" w:hint="eastAsia"/>
          <w:bCs/>
          <w:sz w:val="32"/>
          <w:szCs w:val="32"/>
        </w:rPr>
        <w:t>按职责分工负责）</w:t>
      </w:r>
    </w:p>
    <w:p w:rsidR="009F2D3A" w:rsidRDefault="00D207E5">
      <w:pPr>
        <w:widowControl/>
        <w:shd w:val="clear" w:color="auto" w:fill="FFFFFF"/>
        <w:spacing w:line="450" w:lineRule="atLeast"/>
        <w:ind w:firstLineChars="200" w:firstLine="640"/>
        <w:rPr>
          <w:rFonts w:ascii="仿宋" w:eastAsia="仿宋" w:hAnsi="仿宋" w:cs="仿宋"/>
          <w:color w:val="000000" w:themeColor="text1"/>
          <w:sz w:val="32"/>
          <w:szCs w:val="32"/>
        </w:rPr>
      </w:pPr>
      <w:r>
        <w:rPr>
          <w:rFonts w:ascii="楷体" w:eastAsia="楷体" w:hAnsi="楷体" w:cs="仿宋" w:hint="eastAsia"/>
          <w:color w:val="000000" w:themeColor="text1"/>
          <w:sz w:val="32"/>
          <w:szCs w:val="32"/>
        </w:rPr>
        <w:t>（六）</w:t>
      </w:r>
      <w:r>
        <w:rPr>
          <w:rFonts w:ascii="楷体" w:eastAsia="楷体" w:hAnsi="楷体" w:cs="仿宋" w:hint="eastAsia"/>
          <w:bCs/>
          <w:color w:val="000000" w:themeColor="text1"/>
          <w:sz w:val="32"/>
          <w:szCs w:val="32"/>
        </w:rPr>
        <w:t>活化国有林场经营机制。</w:t>
      </w:r>
      <w:r>
        <w:rPr>
          <w:rFonts w:ascii="仿宋" w:eastAsia="仿宋" w:hAnsi="仿宋" w:cs="仿宋" w:hint="eastAsia"/>
          <w:bCs/>
          <w:color w:val="000000" w:themeColor="text1"/>
          <w:sz w:val="32"/>
          <w:szCs w:val="32"/>
        </w:rPr>
        <w:t>支</w:t>
      </w:r>
      <w:r>
        <w:rPr>
          <w:rFonts w:ascii="仿宋" w:eastAsia="仿宋" w:hAnsi="仿宋" w:cs="仿宋"/>
          <w:bCs/>
          <w:color w:val="000000" w:themeColor="text1"/>
          <w:sz w:val="32"/>
          <w:szCs w:val="32"/>
        </w:rPr>
        <w:t>持分区分类探索国有林场经营性收入分配激励机制</w:t>
      </w:r>
      <w:r>
        <w:rPr>
          <w:rFonts w:ascii="仿宋" w:eastAsia="仿宋" w:hAnsi="仿宋" w:cs="仿宋" w:hint="eastAsia"/>
          <w:bCs/>
          <w:color w:val="000000" w:themeColor="text1"/>
          <w:sz w:val="32"/>
          <w:szCs w:val="32"/>
        </w:rPr>
        <w:t>。国有林场在职职工总数减少至核定的事业编制数，为国有林场改革过渡期（以下简称过渡期）结束节点。过渡期</w:t>
      </w:r>
      <w:r>
        <w:rPr>
          <w:rFonts w:ascii="仿宋" w:eastAsia="仿宋" w:hAnsi="仿宋" w:cs="仿宋"/>
          <w:bCs/>
          <w:color w:val="000000" w:themeColor="text1"/>
          <w:sz w:val="32"/>
          <w:szCs w:val="32"/>
        </w:rPr>
        <w:t>内，</w:t>
      </w:r>
      <w:r>
        <w:rPr>
          <w:rFonts w:ascii="仿宋" w:eastAsia="仿宋" w:hAnsi="仿宋" w:cs="仿宋" w:hint="eastAsia"/>
          <w:bCs/>
          <w:color w:val="000000" w:themeColor="text1"/>
          <w:sz w:val="32"/>
          <w:szCs w:val="32"/>
        </w:rPr>
        <w:t>国有林场可以开展生产经营活动，所得收入留归林场，与财政资金统筹使用，用于保障国有林场“保生态、保民生”改革底线，但</w:t>
      </w:r>
      <w:proofErr w:type="gramStart"/>
      <w:r>
        <w:rPr>
          <w:rFonts w:ascii="仿宋" w:eastAsia="仿宋" w:hAnsi="仿宋" w:cs="仿宋" w:hint="eastAsia"/>
          <w:bCs/>
          <w:color w:val="000000" w:themeColor="text1"/>
          <w:sz w:val="32"/>
          <w:szCs w:val="32"/>
        </w:rPr>
        <w:t>各国有</w:t>
      </w:r>
      <w:proofErr w:type="gramEnd"/>
      <w:r>
        <w:rPr>
          <w:rFonts w:ascii="仿宋" w:eastAsia="仿宋" w:hAnsi="仿宋" w:cs="仿宋" w:hint="eastAsia"/>
          <w:bCs/>
          <w:color w:val="000000" w:themeColor="text1"/>
          <w:sz w:val="32"/>
          <w:szCs w:val="32"/>
        </w:rPr>
        <w:t>林场不得画饼充饥、寅吃卯粮。国有林场的森林经营</w:t>
      </w:r>
      <w:r>
        <w:rPr>
          <w:rFonts w:ascii="仿宋" w:eastAsia="仿宋" w:hAnsi="仿宋" w:cs="仿宋"/>
          <w:bCs/>
          <w:color w:val="000000" w:themeColor="text1"/>
          <w:sz w:val="32"/>
          <w:szCs w:val="32"/>
        </w:rPr>
        <w:t>、</w:t>
      </w:r>
      <w:r>
        <w:rPr>
          <w:rFonts w:ascii="仿宋" w:eastAsia="仿宋" w:hAnsi="仿宋" w:cs="仿宋" w:hint="eastAsia"/>
          <w:bCs/>
          <w:color w:val="000000" w:themeColor="text1"/>
          <w:sz w:val="32"/>
          <w:szCs w:val="32"/>
        </w:rPr>
        <w:t>管护和防火等活动应妥善安置国有林场富余职工，林草主管部门可以购买林业有限</w:t>
      </w:r>
      <w:r>
        <w:rPr>
          <w:rFonts w:ascii="仿宋" w:eastAsia="仿宋" w:hAnsi="仿宋" w:cs="仿宋"/>
          <w:bCs/>
          <w:color w:val="000000" w:themeColor="text1"/>
          <w:sz w:val="32"/>
          <w:szCs w:val="32"/>
        </w:rPr>
        <w:t>公司</w:t>
      </w:r>
      <w:r>
        <w:rPr>
          <w:rFonts w:ascii="仿宋" w:eastAsia="仿宋" w:hAnsi="仿宋" w:cs="仿宋" w:hint="eastAsia"/>
          <w:bCs/>
          <w:color w:val="000000" w:themeColor="text1"/>
          <w:sz w:val="32"/>
          <w:szCs w:val="32"/>
        </w:rPr>
        <w:t>服务，可以通过劳务派遣方式向社会购买服务，也可签订</w:t>
      </w:r>
      <w:r>
        <w:rPr>
          <w:rFonts w:ascii="仿宋" w:eastAsia="仿宋" w:hAnsi="仿宋" w:cs="仿宋"/>
          <w:bCs/>
          <w:color w:val="000000" w:themeColor="text1"/>
          <w:sz w:val="32"/>
          <w:szCs w:val="32"/>
        </w:rPr>
        <w:t>劳务协议</w:t>
      </w:r>
      <w:r>
        <w:rPr>
          <w:rFonts w:ascii="仿宋" w:eastAsia="仿宋" w:hAnsi="仿宋" w:cs="仿宋" w:hint="eastAsia"/>
          <w:bCs/>
          <w:color w:val="000000" w:themeColor="text1"/>
          <w:sz w:val="32"/>
          <w:szCs w:val="32"/>
        </w:rPr>
        <w:t>聘用当地农民，地处边境村的要优先聘用边境村村民。</w:t>
      </w:r>
      <w:r>
        <w:rPr>
          <w:rFonts w:ascii="仿宋" w:eastAsia="仿宋" w:hAnsi="仿宋" w:cs="仿宋" w:hint="eastAsia"/>
          <w:color w:val="000000" w:themeColor="text1"/>
          <w:sz w:val="32"/>
          <w:szCs w:val="32"/>
        </w:rPr>
        <w:t>过渡期后国有林场应当执行“收支两条线”管理，过渡期内是否执行“收支两条线”管理，由地方政府根据本地实际确定。（省委编办、省财政厅、省</w:t>
      </w:r>
      <w:proofErr w:type="gramStart"/>
      <w:r>
        <w:rPr>
          <w:rFonts w:ascii="仿宋" w:eastAsia="仿宋" w:hAnsi="仿宋" w:cs="仿宋" w:hint="eastAsia"/>
          <w:color w:val="000000" w:themeColor="text1"/>
          <w:sz w:val="32"/>
          <w:szCs w:val="32"/>
        </w:rPr>
        <w:t>人社厅</w:t>
      </w:r>
      <w:proofErr w:type="gramEnd"/>
      <w:r>
        <w:rPr>
          <w:rFonts w:ascii="仿宋" w:eastAsia="仿宋" w:hAnsi="仿宋" w:cs="仿宋" w:hint="eastAsia"/>
          <w:color w:val="000000" w:themeColor="text1"/>
          <w:sz w:val="32"/>
          <w:szCs w:val="32"/>
        </w:rPr>
        <w:t>、省乡村振兴局、省林草局及各级人民政府按职责分工负责）</w:t>
      </w:r>
    </w:p>
    <w:p w:rsidR="009F2D3A" w:rsidRDefault="00D207E5">
      <w:pPr>
        <w:widowControl/>
        <w:shd w:val="clear" w:color="auto" w:fill="FFFFFF"/>
        <w:spacing w:line="450" w:lineRule="atLeast"/>
        <w:ind w:firstLineChars="200" w:firstLine="640"/>
        <w:rPr>
          <w:rFonts w:ascii="黑体" w:eastAsia="黑体" w:hAnsi="黑体" w:cs="楷体"/>
          <w:color w:val="000000" w:themeColor="text1"/>
          <w:sz w:val="32"/>
          <w:szCs w:val="32"/>
        </w:rPr>
      </w:pPr>
      <w:r>
        <w:rPr>
          <w:rFonts w:ascii="黑体" w:eastAsia="黑体" w:hAnsi="黑体" w:cs="楷体" w:hint="eastAsia"/>
          <w:color w:val="000000" w:themeColor="text1"/>
          <w:sz w:val="32"/>
          <w:szCs w:val="32"/>
        </w:rPr>
        <w:t>三、建立精简高效的国有林场人才队伍</w:t>
      </w:r>
    </w:p>
    <w:p w:rsidR="009F2D3A" w:rsidRDefault="00D207E5">
      <w:pPr>
        <w:widowControl/>
        <w:shd w:val="clear" w:color="auto" w:fill="FFFFFF"/>
        <w:spacing w:line="450" w:lineRule="atLeast"/>
        <w:ind w:firstLineChars="200" w:firstLine="640"/>
        <w:rPr>
          <w:rFonts w:ascii="仿宋" w:eastAsia="仿宋" w:hAnsi="仿宋"/>
          <w:color w:val="000000" w:themeColor="text1"/>
          <w:sz w:val="32"/>
        </w:rPr>
      </w:pPr>
      <w:r>
        <w:rPr>
          <w:rFonts w:ascii="楷体" w:eastAsia="楷体" w:hAnsi="楷体" w:cs="仿宋" w:hint="eastAsia"/>
          <w:bCs/>
          <w:color w:val="000000" w:themeColor="text1"/>
          <w:sz w:val="32"/>
          <w:szCs w:val="32"/>
        </w:rPr>
        <w:t>（七）拓宽人员进入渠道。</w:t>
      </w:r>
      <w:r>
        <w:rPr>
          <w:rFonts w:ascii="仿宋" w:eastAsia="仿宋" w:hAnsi="仿宋" w:hint="eastAsia"/>
          <w:bCs/>
          <w:color w:val="000000" w:themeColor="text1"/>
          <w:sz w:val="32"/>
        </w:rPr>
        <w:t>落实国家和省关于“带编入伍”、“三支一扶”政策措施。</w:t>
      </w:r>
      <w:r>
        <w:rPr>
          <w:rFonts w:ascii="仿宋" w:eastAsia="仿宋" w:hAnsi="仿宋" w:cs="仿宋" w:hint="eastAsia"/>
          <w:bCs/>
          <w:color w:val="000000" w:themeColor="text1"/>
          <w:sz w:val="32"/>
          <w:szCs w:val="32"/>
        </w:rPr>
        <w:t>在农科生“订单式”培养计</w:t>
      </w:r>
      <w:r>
        <w:rPr>
          <w:rFonts w:ascii="仿宋" w:eastAsia="仿宋" w:hAnsi="仿宋" w:cs="仿宋" w:hint="eastAsia"/>
          <w:bCs/>
          <w:color w:val="000000" w:themeColor="text1"/>
          <w:sz w:val="32"/>
          <w:szCs w:val="32"/>
        </w:rPr>
        <w:lastRenderedPageBreak/>
        <w:t>划中增加国有林场发展相关专业，支持国有林场预留编制设置订单农科</w:t>
      </w:r>
      <w:proofErr w:type="gramStart"/>
      <w:r>
        <w:rPr>
          <w:rFonts w:ascii="仿宋" w:eastAsia="仿宋" w:hAnsi="仿宋" w:cs="仿宋" w:hint="eastAsia"/>
          <w:bCs/>
          <w:color w:val="000000" w:themeColor="text1"/>
          <w:sz w:val="32"/>
          <w:szCs w:val="32"/>
        </w:rPr>
        <w:t>生需求</w:t>
      </w:r>
      <w:proofErr w:type="gramEnd"/>
      <w:r>
        <w:rPr>
          <w:rFonts w:ascii="仿宋" w:eastAsia="仿宋" w:hAnsi="仿宋" w:cs="仿宋" w:hint="eastAsia"/>
          <w:bCs/>
          <w:color w:val="000000" w:themeColor="text1"/>
          <w:sz w:val="32"/>
          <w:szCs w:val="32"/>
        </w:rPr>
        <w:t>岗位，统一纳入农科生“订单式”培养计划进行培养。为解决专业技术人员严重不足</w:t>
      </w:r>
      <w:r>
        <w:rPr>
          <w:rFonts w:ascii="仿宋" w:eastAsia="仿宋" w:hAnsi="仿宋" w:hint="eastAsia"/>
          <w:bCs/>
          <w:color w:val="000000" w:themeColor="text1"/>
          <w:sz w:val="32"/>
        </w:rPr>
        <w:t>问题，超编事业性质国有林场可以采取一事一议方式招录人才，</w:t>
      </w:r>
      <w:r>
        <w:rPr>
          <w:rFonts w:ascii="仿宋" w:eastAsia="仿宋" w:hAnsi="仿宋"/>
          <w:bCs/>
          <w:color w:val="000000" w:themeColor="text1"/>
          <w:sz w:val="32"/>
        </w:rPr>
        <w:t>申请使用“人才编制池”编制</w:t>
      </w:r>
      <w:r>
        <w:rPr>
          <w:rFonts w:ascii="仿宋" w:eastAsia="仿宋" w:hAnsi="仿宋" w:hint="eastAsia"/>
          <w:bCs/>
          <w:color w:val="000000" w:themeColor="text1"/>
          <w:sz w:val="32"/>
        </w:rPr>
        <w:t>办理入编。对具有林学类、生态学类、农学类、生物学类硕士学位人员，年龄在</w:t>
      </w:r>
      <w:r>
        <w:rPr>
          <w:rFonts w:ascii="仿宋" w:eastAsia="仿宋" w:hAnsi="仿宋"/>
          <w:bCs/>
          <w:color w:val="000000" w:themeColor="text1"/>
          <w:sz w:val="32"/>
        </w:rPr>
        <w:t>40</w:t>
      </w:r>
      <w:r>
        <w:rPr>
          <w:rFonts w:ascii="仿宋" w:eastAsia="仿宋" w:hAnsi="仿宋" w:hint="eastAsia"/>
          <w:bCs/>
          <w:color w:val="000000" w:themeColor="text1"/>
          <w:sz w:val="32"/>
        </w:rPr>
        <w:t>周岁以下的，可以采取人才引进方式，简化程序公开招聘。事业性质国有林场可以从国有林业有限</w:t>
      </w:r>
      <w:r>
        <w:rPr>
          <w:rFonts w:ascii="仿宋" w:eastAsia="仿宋" w:hAnsi="仿宋"/>
          <w:bCs/>
          <w:color w:val="000000" w:themeColor="text1"/>
          <w:sz w:val="32"/>
        </w:rPr>
        <w:t>公司</w:t>
      </w:r>
      <w:r>
        <w:rPr>
          <w:rFonts w:ascii="仿宋" w:eastAsia="仿宋" w:hAnsi="仿宋" w:hint="eastAsia"/>
          <w:bCs/>
          <w:color w:val="000000" w:themeColor="text1"/>
          <w:sz w:val="32"/>
        </w:rPr>
        <w:t>调配</w:t>
      </w:r>
      <w:r>
        <w:rPr>
          <w:rFonts w:ascii="仿宋" w:eastAsia="仿宋" w:hAnsi="仿宋"/>
          <w:bCs/>
          <w:color w:val="000000" w:themeColor="text1"/>
          <w:sz w:val="32"/>
        </w:rPr>
        <w:t>50</w:t>
      </w:r>
      <w:r>
        <w:rPr>
          <w:rFonts w:ascii="仿宋" w:eastAsia="仿宋" w:hAnsi="仿宋" w:hint="eastAsia"/>
          <w:bCs/>
          <w:color w:val="000000" w:themeColor="text1"/>
          <w:sz w:val="32"/>
        </w:rPr>
        <w:t>周岁以下并取得中级专业技术资格或</w:t>
      </w:r>
      <w:r>
        <w:rPr>
          <w:rFonts w:ascii="仿宋" w:eastAsia="仿宋" w:hAnsi="仿宋"/>
          <w:bCs/>
          <w:color w:val="000000" w:themeColor="text1"/>
          <w:sz w:val="32"/>
        </w:rPr>
        <w:t>55</w:t>
      </w:r>
      <w:r>
        <w:rPr>
          <w:rFonts w:ascii="仿宋" w:eastAsia="仿宋" w:hAnsi="仿宋" w:hint="eastAsia"/>
          <w:bCs/>
          <w:color w:val="000000" w:themeColor="text1"/>
          <w:sz w:val="32"/>
        </w:rPr>
        <w:t>周岁以下并取得副高级（含）以上专业技术资格的专业技术人才，</w:t>
      </w:r>
      <w:r>
        <w:rPr>
          <w:rFonts w:ascii="仿宋" w:eastAsia="仿宋" w:hAnsi="仿宋"/>
          <w:bCs/>
          <w:color w:val="000000" w:themeColor="text1"/>
          <w:sz w:val="32"/>
        </w:rPr>
        <w:t>按照事业单位</w:t>
      </w:r>
      <w:r>
        <w:rPr>
          <w:rFonts w:ascii="仿宋" w:eastAsia="仿宋" w:hAnsi="仿宋" w:hint="eastAsia"/>
          <w:bCs/>
          <w:color w:val="000000" w:themeColor="text1"/>
          <w:sz w:val="32"/>
        </w:rPr>
        <w:t>人员</w:t>
      </w:r>
      <w:r>
        <w:rPr>
          <w:rFonts w:ascii="仿宋" w:eastAsia="仿宋" w:hAnsi="仿宋"/>
          <w:bCs/>
          <w:color w:val="000000" w:themeColor="text1"/>
          <w:sz w:val="32"/>
        </w:rPr>
        <w:t>管理</w:t>
      </w:r>
      <w:r>
        <w:rPr>
          <w:rFonts w:ascii="仿宋" w:eastAsia="仿宋" w:hAnsi="仿宋" w:hint="eastAsia"/>
          <w:bCs/>
          <w:color w:val="000000" w:themeColor="text1"/>
          <w:sz w:val="32"/>
        </w:rPr>
        <w:t>。</w:t>
      </w:r>
      <w:r>
        <w:rPr>
          <w:rFonts w:ascii="仿宋" w:eastAsia="仿宋" w:hAnsi="仿宋" w:hint="eastAsia"/>
          <w:color w:val="000000" w:themeColor="text1"/>
          <w:sz w:val="32"/>
        </w:rPr>
        <w:t>（省委组织部</w:t>
      </w:r>
      <w:r>
        <w:rPr>
          <w:rFonts w:ascii="仿宋" w:eastAsia="仿宋" w:hAnsi="仿宋" w:cs="仿宋" w:hint="eastAsia"/>
          <w:bCs/>
          <w:color w:val="000000" w:themeColor="text1"/>
          <w:sz w:val="32"/>
          <w:szCs w:val="32"/>
        </w:rPr>
        <w:t>、省委编办、</w:t>
      </w:r>
      <w:r>
        <w:rPr>
          <w:rFonts w:ascii="仿宋" w:eastAsia="仿宋" w:hAnsi="仿宋" w:hint="eastAsia"/>
          <w:color w:val="000000" w:themeColor="text1"/>
          <w:sz w:val="32"/>
        </w:rPr>
        <w:t>省教育厅、省财政厅、</w:t>
      </w:r>
      <w:r>
        <w:rPr>
          <w:rFonts w:ascii="仿宋" w:eastAsia="仿宋" w:hAnsi="仿宋" w:cs="仿宋" w:hint="eastAsia"/>
          <w:bCs/>
          <w:color w:val="000000" w:themeColor="text1"/>
          <w:sz w:val="32"/>
          <w:szCs w:val="32"/>
        </w:rPr>
        <w:t>省</w:t>
      </w:r>
      <w:proofErr w:type="gramStart"/>
      <w:r>
        <w:rPr>
          <w:rFonts w:ascii="仿宋" w:eastAsia="仿宋" w:hAnsi="仿宋" w:hint="eastAsia"/>
          <w:color w:val="000000" w:themeColor="text1"/>
          <w:sz w:val="32"/>
        </w:rPr>
        <w:t>人社厅</w:t>
      </w:r>
      <w:proofErr w:type="gramEnd"/>
      <w:r>
        <w:rPr>
          <w:rFonts w:ascii="仿宋" w:eastAsia="仿宋" w:hAnsi="仿宋" w:hint="eastAsia"/>
          <w:color w:val="000000" w:themeColor="text1"/>
          <w:sz w:val="32"/>
        </w:rPr>
        <w:t>、省林草局及各级人民政府按职责分工负责）</w:t>
      </w:r>
    </w:p>
    <w:p w:rsidR="009F2D3A" w:rsidRDefault="00D207E5">
      <w:pPr>
        <w:widowControl/>
        <w:shd w:val="clear" w:color="auto" w:fill="FFFFFF"/>
        <w:spacing w:line="450" w:lineRule="atLeast"/>
        <w:ind w:firstLineChars="200" w:firstLine="640"/>
        <w:rPr>
          <w:rFonts w:ascii="仿宋" w:eastAsia="仿宋" w:hAnsi="仿宋" w:cs="仿宋"/>
          <w:bCs/>
          <w:color w:val="000000" w:themeColor="text1"/>
          <w:sz w:val="32"/>
          <w:szCs w:val="32"/>
        </w:rPr>
      </w:pPr>
      <w:r>
        <w:rPr>
          <w:rFonts w:ascii="楷体" w:eastAsia="楷体" w:hAnsi="楷体" w:cs="仿宋" w:hint="eastAsia"/>
          <w:bCs/>
          <w:color w:val="000000" w:themeColor="text1"/>
          <w:sz w:val="32"/>
          <w:szCs w:val="32"/>
        </w:rPr>
        <w:t>（八）加强编制人员管理。</w:t>
      </w:r>
      <w:r>
        <w:rPr>
          <w:rFonts w:ascii="仿宋" w:eastAsia="仿宋" w:hAnsi="仿宋" w:cs="仿宋" w:hint="eastAsia"/>
          <w:color w:val="000000" w:themeColor="text1"/>
          <w:sz w:val="32"/>
          <w:szCs w:val="32"/>
        </w:rPr>
        <w:t>国有林场事业编制应当保持稳定，不得随意调减或挤占使用。为加快</w:t>
      </w:r>
      <w:r>
        <w:rPr>
          <w:rFonts w:ascii="仿宋" w:eastAsia="仿宋" w:hAnsi="仿宋" w:cs="仿宋"/>
          <w:color w:val="000000" w:themeColor="text1"/>
          <w:sz w:val="32"/>
          <w:szCs w:val="32"/>
        </w:rPr>
        <w:t>建立国有林场架构，</w:t>
      </w:r>
      <w:r>
        <w:rPr>
          <w:rFonts w:ascii="仿宋" w:eastAsia="仿宋" w:hAnsi="仿宋" w:cs="仿宋" w:hint="eastAsia"/>
          <w:color w:val="000000" w:themeColor="text1"/>
          <w:sz w:val="32"/>
          <w:szCs w:val="32"/>
        </w:rPr>
        <w:t>确保人员新老有序交替，每年招录人员控制在编制总数的</w:t>
      </w:r>
      <w:r>
        <w:rPr>
          <w:rFonts w:ascii="仿宋" w:eastAsia="仿宋" w:hAnsi="仿宋" w:cs="仿宋"/>
          <w:color w:val="000000" w:themeColor="text1"/>
          <w:sz w:val="32"/>
          <w:szCs w:val="32"/>
        </w:rPr>
        <w:t>2%-5%</w:t>
      </w:r>
      <w:r>
        <w:rPr>
          <w:rFonts w:ascii="仿宋" w:eastAsia="仿宋" w:hAnsi="仿宋" w:cs="仿宋" w:hint="eastAsia"/>
          <w:color w:val="000000" w:themeColor="text1"/>
          <w:sz w:val="32"/>
          <w:szCs w:val="32"/>
        </w:rPr>
        <w:t>。过渡期后，国有林场应当落实编制实名制管理。从严控制企业性质国有林场职工人数，原则上不得超过每</w:t>
      </w:r>
      <w:r>
        <w:rPr>
          <w:rFonts w:ascii="仿宋" w:eastAsia="仿宋" w:hAnsi="仿宋" w:cs="仿宋"/>
          <w:color w:val="000000" w:themeColor="text1"/>
          <w:sz w:val="32"/>
          <w:szCs w:val="32"/>
        </w:rPr>
        <w:t>3000亩</w:t>
      </w:r>
      <w:r>
        <w:rPr>
          <w:rFonts w:ascii="仿宋" w:eastAsia="仿宋" w:hAnsi="仿宋" w:cs="仿宋" w:hint="eastAsia"/>
          <w:color w:val="000000" w:themeColor="text1"/>
          <w:sz w:val="32"/>
          <w:szCs w:val="32"/>
        </w:rPr>
        <w:t>一人标准。（</w:t>
      </w:r>
      <w:r>
        <w:rPr>
          <w:rFonts w:ascii="仿宋" w:eastAsia="仿宋" w:hAnsi="仿宋" w:hint="eastAsia"/>
          <w:color w:val="000000" w:themeColor="text1"/>
          <w:sz w:val="32"/>
        </w:rPr>
        <w:t>省</w:t>
      </w:r>
      <w:proofErr w:type="gramStart"/>
      <w:r>
        <w:rPr>
          <w:rFonts w:ascii="仿宋" w:eastAsia="仿宋" w:hAnsi="仿宋" w:hint="eastAsia"/>
          <w:color w:val="000000" w:themeColor="text1"/>
          <w:sz w:val="32"/>
        </w:rPr>
        <w:t>人社厅</w:t>
      </w:r>
      <w:proofErr w:type="gramEnd"/>
      <w:r>
        <w:rPr>
          <w:rFonts w:ascii="仿宋" w:eastAsia="仿宋" w:hAnsi="仿宋" w:hint="eastAsia"/>
          <w:color w:val="000000" w:themeColor="text1"/>
          <w:sz w:val="32"/>
        </w:rPr>
        <w:t>、省林草局及各级人民政府按职责分工负责）</w:t>
      </w:r>
    </w:p>
    <w:p w:rsidR="009F2D3A" w:rsidRDefault="00D207E5">
      <w:pPr>
        <w:widowControl/>
        <w:shd w:val="clear" w:color="auto" w:fill="FFFFFF"/>
        <w:spacing w:line="450" w:lineRule="atLeast"/>
        <w:ind w:firstLineChars="200" w:firstLine="640"/>
        <w:rPr>
          <w:rFonts w:ascii="仿宋" w:eastAsia="仿宋" w:hAnsi="仿宋" w:cs="仿宋"/>
          <w:color w:val="000000" w:themeColor="text1"/>
          <w:sz w:val="32"/>
          <w:szCs w:val="32"/>
        </w:rPr>
      </w:pPr>
      <w:r>
        <w:rPr>
          <w:rFonts w:ascii="楷体" w:eastAsia="楷体" w:hAnsi="楷体" w:cs="仿宋" w:hint="eastAsia"/>
          <w:bCs/>
          <w:color w:val="000000" w:themeColor="text1"/>
          <w:sz w:val="32"/>
          <w:szCs w:val="32"/>
        </w:rPr>
        <w:t>（九）加强人才</w:t>
      </w:r>
      <w:r>
        <w:rPr>
          <w:rFonts w:ascii="楷体" w:eastAsia="楷体" w:hAnsi="楷体" w:cs="仿宋"/>
          <w:bCs/>
          <w:color w:val="000000" w:themeColor="text1"/>
          <w:sz w:val="32"/>
          <w:szCs w:val="32"/>
        </w:rPr>
        <w:t>培养</w:t>
      </w:r>
      <w:r>
        <w:rPr>
          <w:rFonts w:ascii="楷体" w:eastAsia="楷体" w:hAnsi="楷体" w:cs="仿宋" w:hint="eastAsia"/>
          <w:bCs/>
          <w:color w:val="000000" w:themeColor="text1"/>
          <w:sz w:val="32"/>
          <w:szCs w:val="32"/>
        </w:rPr>
        <w:t>。</w:t>
      </w:r>
      <w:r>
        <w:rPr>
          <w:rFonts w:ascii="仿宋" w:eastAsia="仿宋" w:hAnsi="仿宋" w:hint="eastAsia"/>
          <w:bCs/>
          <w:color w:val="000000" w:themeColor="text1"/>
          <w:sz w:val="32"/>
        </w:rPr>
        <w:t>科学合理设置管理、专业技术等岗位，制定岗位工作职责和管理措施。国有林场从事一线专业技术工作累计满</w:t>
      </w:r>
      <w:r>
        <w:rPr>
          <w:rFonts w:ascii="仿宋" w:eastAsia="仿宋" w:hAnsi="仿宋"/>
          <w:bCs/>
          <w:color w:val="000000" w:themeColor="text1"/>
          <w:sz w:val="32"/>
        </w:rPr>
        <w:t>30年，且现仍在一线从事专业技术工作</w:t>
      </w:r>
      <w:r>
        <w:rPr>
          <w:rFonts w:ascii="仿宋" w:eastAsia="仿宋" w:hAnsi="仿宋" w:hint="eastAsia"/>
          <w:bCs/>
          <w:color w:val="000000" w:themeColor="text1"/>
          <w:sz w:val="32"/>
        </w:rPr>
        <w:lastRenderedPageBreak/>
        <w:t>的人员，聘任中级职称满</w:t>
      </w:r>
      <w:r>
        <w:rPr>
          <w:rFonts w:ascii="仿宋" w:eastAsia="仿宋" w:hAnsi="仿宋"/>
          <w:bCs/>
          <w:color w:val="000000" w:themeColor="text1"/>
          <w:sz w:val="32"/>
        </w:rPr>
        <w:t>10年</w:t>
      </w:r>
      <w:r>
        <w:rPr>
          <w:rFonts w:ascii="仿宋" w:eastAsia="仿宋" w:hAnsi="仿宋" w:hint="eastAsia"/>
          <w:bCs/>
          <w:color w:val="000000" w:themeColor="text1"/>
          <w:sz w:val="32"/>
        </w:rPr>
        <w:t>的，可直接评（聘）为副高级职称（职务），单独核定，单列管理。建立国有林场职工学历教育和技能培训制度，开展国有林场职工职业技能竞赛，建立选派挂职和学习锻炼交流机制，不断提高国有林场人员综合素质和经营管理能力。</w:t>
      </w:r>
      <w:r>
        <w:rPr>
          <w:rFonts w:ascii="仿宋" w:eastAsia="仿宋" w:hAnsi="仿宋" w:cs="仿宋" w:hint="eastAsia"/>
          <w:color w:val="000000" w:themeColor="text1"/>
          <w:sz w:val="32"/>
        </w:rPr>
        <w:t>（省</w:t>
      </w:r>
      <w:proofErr w:type="gramStart"/>
      <w:r>
        <w:rPr>
          <w:rFonts w:ascii="仿宋" w:eastAsia="仿宋" w:hAnsi="仿宋" w:cs="仿宋" w:hint="eastAsia"/>
          <w:color w:val="000000" w:themeColor="text1"/>
          <w:sz w:val="32"/>
        </w:rPr>
        <w:t>人社厅</w:t>
      </w:r>
      <w:proofErr w:type="gramEnd"/>
      <w:r>
        <w:rPr>
          <w:rFonts w:ascii="仿宋" w:eastAsia="仿宋" w:hAnsi="仿宋" w:cs="仿宋" w:hint="eastAsia"/>
          <w:color w:val="000000" w:themeColor="text1"/>
          <w:sz w:val="32"/>
        </w:rPr>
        <w:t>、省林草局及各级人民政府按职责分工负责）</w:t>
      </w:r>
    </w:p>
    <w:p w:rsidR="009F2D3A" w:rsidRDefault="00D207E5">
      <w:pPr>
        <w:pStyle w:val="112"/>
        <w:rPr>
          <w:rFonts w:ascii="黑体" w:eastAsia="黑体" w:hAnsi="黑体" w:cs="楷体"/>
          <w:b w:val="0"/>
          <w:color w:val="000000" w:themeColor="text1"/>
          <w:sz w:val="32"/>
          <w:szCs w:val="32"/>
        </w:rPr>
      </w:pPr>
      <w:r>
        <w:rPr>
          <w:rFonts w:ascii="黑体" w:eastAsia="黑体" w:hAnsi="黑体" w:cs="楷体" w:hint="eastAsia"/>
          <w:b w:val="0"/>
          <w:color w:val="000000" w:themeColor="text1"/>
          <w:sz w:val="32"/>
          <w:szCs w:val="32"/>
        </w:rPr>
        <w:t>四、培育高质量国有林场森林资源</w:t>
      </w:r>
    </w:p>
    <w:p w:rsidR="009F2D3A" w:rsidRDefault="00D207E5">
      <w:pPr>
        <w:widowControl/>
        <w:shd w:val="clear" w:color="auto" w:fill="FFFFFF"/>
        <w:spacing w:line="450" w:lineRule="atLeast"/>
        <w:ind w:firstLineChars="200" w:firstLine="640"/>
        <w:rPr>
          <w:rFonts w:ascii="仿宋" w:eastAsia="仿宋" w:hAnsi="仿宋"/>
          <w:color w:val="000000" w:themeColor="text1"/>
          <w:sz w:val="32"/>
          <w:szCs w:val="32"/>
        </w:rPr>
      </w:pPr>
      <w:r>
        <w:rPr>
          <w:rFonts w:ascii="楷体" w:eastAsia="楷体" w:hAnsi="楷体" w:cs="仿宋" w:hint="eastAsia"/>
          <w:bCs/>
          <w:color w:val="000000" w:themeColor="text1"/>
          <w:sz w:val="32"/>
          <w:szCs w:val="32"/>
        </w:rPr>
        <w:t>（十）推进国有林场森林资源科学经营。</w:t>
      </w:r>
      <w:r>
        <w:rPr>
          <w:rFonts w:ascii="仿宋" w:eastAsia="仿宋" w:hAnsi="仿宋" w:hint="eastAsia"/>
          <w:color w:val="000000" w:themeColor="text1"/>
          <w:sz w:val="32"/>
          <w:szCs w:val="32"/>
        </w:rPr>
        <w:t>国有林场应按照近自然、多功能、健康可持续的森林经营理念，明确森林培育、</w:t>
      </w:r>
      <w:r>
        <w:rPr>
          <w:rFonts w:ascii="仿宋" w:eastAsia="仿宋" w:hAnsi="仿宋"/>
          <w:color w:val="000000" w:themeColor="text1"/>
          <w:sz w:val="32"/>
          <w:szCs w:val="32"/>
        </w:rPr>
        <w:t>保护</w:t>
      </w:r>
      <w:r>
        <w:rPr>
          <w:rFonts w:ascii="仿宋" w:eastAsia="仿宋" w:hAnsi="仿宋" w:hint="eastAsia"/>
          <w:color w:val="000000" w:themeColor="text1"/>
          <w:sz w:val="32"/>
          <w:szCs w:val="32"/>
        </w:rPr>
        <w:t>和</w:t>
      </w:r>
      <w:r>
        <w:rPr>
          <w:rFonts w:ascii="仿宋" w:eastAsia="仿宋" w:hAnsi="仿宋"/>
          <w:color w:val="000000" w:themeColor="text1"/>
          <w:sz w:val="32"/>
          <w:szCs w:val="32"/>
        </w:rPr>
        <w:t>利用</w:t>
      </w:r>
      <w:r>
        <w:rPr>
          <w:rFonts w:ascii="仿宋" w:eastAsia="仿宋" w:hAnsi="仿宋" w:hint="eastAsia"/>
          <w:color w:val="000000" w:themeColor="text1"/>
          <w:sz w:val="32"/>
          <w:szCs w:val="32"/>
        </w:rPr>
        <w:t>等经营措施，科学编制森林经营方案，经县级以上林草主管部门批准并报省级林草主管部门备案后严格实施，其中，现代林场试点市县国有林场森林经营方案应当报省级林草主管部门批准后实施。严格</w:t>
      </w:r>
      <w:r>
        <w:rPr>
          <w:rFonts w:ascii="仿宋" w:eastAsia="仿宋" w:hAnsi="仿宋"/>
          <w:color w:val="000000" w:themeColor="text1"/>
          <w:sz w:val="32"/>
          <w:szCs w:val="32"/>
        </w:rPr>
        <w:t>落实天然林</w:t>
      </w:r>
      <w:r>
        <w:rPr>
          <w:rFonts w:ascii="仿宋" w:eastAsia="仿宋" w:hAnsi="仿宋" w:hint="eastAsia"/>
          <w:color w:val="000000" w:themeColor="text1"/>
          <w:sz w:val="32"/>
          <w:szCs w:val="32"/>
        </w:rPr>
        <w:t>保护修复各项</w:t>
      </w:r>
      <w:r>
        <w:rPr>
          <w:rFonts w:ascii="仿宋" w:eastAsia="仿宋" w:hAnsi="仿宋"/>
          <w:color w:val="000000" w:themeColor="text1"/>
          <w:sz w:val="32"/>
          <w:szCs w:val="32"/>
        </w:rPr>
        <w:t>政策措施，依法保护</w:t>
      </w:r>
      <w:r>
        <w:rPr>
          <w:rFonts w:ascii="仿宋" w:eastAsia="仿宋" w:hAnsi="仿宋" w:hint="eastAsia"/>
          <w:color w:val="000000" w:themeColor="text1"/>
          <w:sz w:val="32"/>
          <w:szCs w:val="32"/>
        </w:rPr>
        <w:t>修复</w:t>
      </w:r>
      <w:r>
        <w:rPr>
          <w:rFonts w:ascii="仿宋" w:eastAsia="仿宋" w:hAnsi="仿宋"/>
          <w:color w:val="000000" w:themeColor="text1"/>
          <w:sz w:val="32"/>
          <w:szCs w:val="32"/>
        </w:rPr>
        <w:t>天然林资源。加强公益林管</w:t>
      </w:r>
      <w:r>
        <w:rPr>
          <w:rFonts w:ascii="仿宋" w:eastAsia="仿宋" w:hAnsi="仿宋" w:hint="eastAsia"/>
          <w:color w:val="000000" w:themeColor="text1"/>
          <w:sz w:val="32"/>
          <w:szCs w:val="32"/>
        </w:rPr>
        <w:t>理</w:t>
      </w:r>
      <w:r>
        <w:rPr>
          <w:rFonts w:ascii="仿宋" w:eastAsia="仿宋" w:hAnsi="仿宋"/>
          <w:color w:val="000000" w:themeColor="text1"/>
          <w:sz w:val="32"/>
          <w:szCs w:val="32"/>
        </w:rPr>
        <w:t>，</w:t>
      </w:r>
      <w:r>
        <w:rPr>
          <w:rFonts w:ascii="仿宋" w:eastAsia="仿宋" w:hAnsi="仿宋" w:hint="eastAsia"/>
          <w:color w:val="000000" w:themeColor="text1"/>
          <w:sz w:val="32"/>
          <w:szCs w:val="32"/>
        </w:rPr>
        <w:t>确保公益林植被得到恢复，质量得到提高。持续加强中幼林抚育，合理确定抚育采伐强度及间隔期，加快培育更新层，中东部山区半山区国有林场应当逐步停止皆伐作业。鼓励国有林场开展合作造林、合作经营、委托管理等，全面参与集体林经管管理。（省林草局及各级人民政府按职责分工负责）</w:t>
      </w:r>
    </w:p>
    <w:p w:rsidR="009F2D3A" w:rsidRDefault="00D207E5">
      <w:pPr>
        <w:ind w:firstLineChars="200" w:firstLine="640"/>
        <w:rPr>
          <w:rFonts w:ascii="仿宋" w:eastAsia="仿宋" w:hAnsi="仿宋"/>
          <w:color w:val="000000" w:themeColor="text1"/>
          <w:sz w:val="32"/>
          <w:szCs w:val="32"/>
        </w:rPr>
      </w:pPr>
      <w:r>
        <w:rPr>
          <w:rFonts w:ascii="楷体" w:eastAsia="楷体" w:hAnsi="楷体" w:cs="仿宋" w:hint="eastAsia"/>
          <w:bCs/>
          <w:color w:val="000000" w:themeColor="text1"/>
          <w:sz w:val="32"/>
          <w:szCs w:val="32"/>
        </w:rPr>
        <w:t>（十一）推进国有林场和林木种苗融合发展。</w:t>
      </w:r>
      <w:r>
        <w:rPr>
          <w:rFonts w:ascii="仿宋" w:eastAsia="仿宋" w:hAnsi="仿宋" w:hint="eastAsia"/>
          <w:color w:val="000000" w:themeColor="text1"/>
          <w:sz w:val="32"/>
          <w:szCs w:val="32"/>
        </w:rPr>
        <w:t>充分发挥国有林场生产和提供公益性种苗的主体作用，合理确定国有</w:t>
      </w:r>
      <w:r>
        <w:rPr>
          <w:rFonts w:ascii="仿宋" w:eastAsia="仿宋" w:hAnsi="仿宋" w:hint="eastAsia"/>
          <w:color w:val="000000" w:themeColor="text1"/>
          <w:sz w:val="32"/>
          <w:szCs w:val="32"/>
        </w:rPr>
        <w:lastRenderedPageBreak/>
        <w:t>林场种苗生产基地规模。积极推进国有林场林木种质资源库、良种基地和保障性苗圃建设，提高良种使用率。调整优化树种结构，大力培育灌木树种、乡土树种、珍贵树种种苗和</w:t>
      </w:r>
      <w:r>
        <w:rPr>
          <w:rFonts w:ascii="仿宋" w:eastAsia="仿宋" w:hAnsi="仿宋"/>
          <w:color w:val="000000" w:themeColor="text1"/>
          <w:sz w:val="32"/>
          <w:szCs w:val="32"/>
        </w:rPr>
        <w:t>优良草种</w:t>
      </w:r>
      <w:r>
        <w:rPr>
          <w:rFonts w:ascii="仿宋" w:eastAsia="仿宋" w:hAnsi="仿宋" w:hint="eastAsia"/>
          <w:color w:val="000000" w:themeColor="text1"/>
          <w:sz w:val="32"/>
          <w:szCs w:val="32"/>
        </w:rPr>
        <w:t>，开展种苗基地示范建设。推进优良乡土种苗品种选育、审定、推广和种质资源保护，鼓励订单育苗、定向育苗，提高国有林场种苗供给能力和质量水平。（省林草局及各级人民政府按职责分工负责）</w:t>
      </w:r>
    </w:p>
    <w:p w:rsidR="009F2D3A" w:rsidRDefault="00D207E5">
      <w:pPr>
        <w:widowControl/>
        <w:shd w:val="clear" w:color="auto" w:fill="FFFFFF"/>
        <w:spacing w:line="450" w:lineRule="atLeast"/>
        <w:ind w:firstLineChars="200" w:firstLine="640"/>
        <w:rPr>
          <w:rFonts w:ascii="黑体" w:eastAsia="黑体" w:hAnsi="黑体" w:cs="楷体"/>
          <w:color w:val="000000" w:themeColor="text1"/>
          <w:sz w:val="32"/>
          <w:szCs w:val="32"/>
        </w:rPr>
      </w:pPr>
      <w:r>
        <w:rPr>
          <w:rFonts w:ascii="黑体" w:eastAsia="黑体" w:hAnsi="黑体" w:cs="楷体" w:hint="eastAsia"/>
          <w:color w:val="000000" w:themeColor="text1"/>
          <w:sz w:val="32"/>
          <w:szCs w:val="32"/>
        </w:rPr>
        <w:t>五、建立高水平森林资源保护体系</w:t>
      </w:r>
    </w:p>
    <w:p w:rsidR="009F2D3A" w:rsidRDefault="00D207E5">
      <w:pPr>
        <w:ind w:firstLineChars="200" w:firstLine="640"/>
        <w:rPr>
          <w:rFonts w:ascii="仿宋" w:eastAsia="仿宋" w:hAnsi="仿宋"/>
          <w:color w:val="000000" w:themeColor="text1"/>
          <w:sz w:val="32"/>
          <w:szCs w:val="32"/>
        </w:rPr>
      </w:pPr>
      <w:r>
        <w:rPr>
          <w:rFonts w:ascii="楷体" w:eastAsia="楷体" w:hAnsi="楷体" w:cs="仿宋" w:hint="eastAsia"/>
          <w:bCs/>
          <w:color w:val="000000" w:themeColor="text1"/>
          <w:sz w:val="32"/>
          <w:szCs w:val="32"/>
        </w:rPr>
        <w:t>（十二）保护国有林场合法权益。</w:t>
      </w:r>
      <w:r>
        <w:rPr>
          <w:rFonts w:ascii="仿宋" w:eastAsia="仿宋" w:hAnsi="仿宋" w:hint="eastAsia"/>
          <w:color w:val="000000" w:themeColor="text1"/>
          <w:sz w:val="32"/>
          <w:szCs w:val="32"/>
        </w:rPr>
        <w:t>建立归属清晰、权责明确、监管有效的森林资源产权制度。国有林场应依法进行林权登记，申请或换发不动产权证，应以事业性质国有林场作为林权权利人。国有林场的森林资源资产未经批准不得转让，不得为其他单位和个人提供任何形式的担保，严禁无偿或低价出让。国家划拨给国有林场的森林资源，地方政府无权划转至经营性公司。（省自然资源厅、省林草局及各级人民政府按职责分工负责）</w:t>
      </w:r>
    </w:p>
    <w:p w:rsidR="009F2D3A" w:rsidRDefault="00D207E5">
      <w:pPr>
        <w:ind w:firstLineChars="200" w:firstLine="640"/>
        <w:rPr>
          <w:rFonts w:ascii="仿宋" w:eastAsia="仿宋" w:hAnsi="仿宋"/>
          <w:color w:val="000000" w:themeColor="text1"/>
          <w:sz w:val="32"/>
          <w:szCs w:val="32"/>
        </w:rPr>
      </w:pPr>
      <w:r>
        <w:rPr>
          <w:rFonts w:ascii="楷体" w:eastAsia="楷体" w:hAnsi="楷体" w:cs="仿宋" w:hint="eastAsia"/>
          <w:bCs/>
          <w:color w:val="000000" w:themeColor="text1"/>
          <w:sz w:val="32"/>
          <w:szCs w:val="32"/>
        </w:rPr>
        <w:t>（十三）强化国有林场资源监管。</w:t>
      </w:r>
      <w:r>
        <w:rPr>
          <w:rFonts w:ascii="仿宋" w:eastAsia="仿宋" w:hAnsi="仿宋" w:hint="eastAsia"/>
          <w:color w:val="000000" w:themeColor="text1"/>
          <w:sz w:val="32"/>
          <w:szCs w:val="32"/>
        </w:rPr>
        <w:t>严格执行森林资源保护政策，健全森林资源保护、培育、利用、监测以及森林资源有偿使用等制度。保持国有林场林地范围和用途长期稳定，严格控制林地转为非林地。健全完善国有林场场长资源离任审计制度，开展</w:t>
      </w:r>
      <w:r>
        <w:rPr>
          <w:rFonts w:ascii="仿宋" w:eastAsia="仿宋" w:hAnsi="仿宋"/>
          <w:color w:val="000000" w:themeColor="text1"/>
          <w:sz w:val="32"/>
          <w:szCs w:val="32"/>
        </w:rPr>
        <w:t>国有林场场长</w:t>
      </w:r>
      <w:r>
        <w:rPr>
          <w:rFonts w:ascii="仿宋" w:eastAsia="仿宋" w:hAnsi="仿宋" w:hint="eastAsia"/>
          <w:color w:val="000000" w:themeColor="text1"/>
          <w:sz w:val="32"/>
          <w:szCs w:val="32"/>
        </w:rPr>
        <w:t>森林资源离任审计。（省财政厅、省林草局及各级人民政府按职责分工负责）</w:t>
      </w:r>
    </w:p>
    <w:p w:rsidR="009F2D3A" w:rsidRDefault="00D207E5">
      <w:pPr>
        <w:pStyle w:val="112"/>
        <w:ind w:firstLineChars="200" w:firstLine="640"/>
        <w:rPr>
          <w:rFonts w:ascii="黑体" w:eastAsia="黑体" w:hAnsi="黑体"/>
          <w:b w:val="0"/>
          <w:color w:val="000000" w:themeColor="text1"/>
          <w:sz w:val="32"/>
        </w:rPr>
      </w:pPr>
      <w:r>
        <w:rPr>
          <w:rFonts w:ascii="黑体" w:eastAsia="黑体" w:hAnsi="黑体" w:hint="eastAsia"/>
          <w:b w:val="0"/>
          <w:color w:val="000000" w:themeColor="text1"/>
          <w:sz w:val="32"/>
        </w:rPr>
        <w:lastRenderedPageBreak/>
        <w:t>六、激发国有林场发展活力</w:t>
      </w:r>
    </w:p>
    <w:p w:rsidR="009F2D3A" w:rsidRDefault="00D207E5">
      <w:pPr>
        <w:ind w:firstLineChars="200" w:firstLine="640"/>
        <w:rPr>
          <w:rFonts w:ascii="仿宋" w:eastAsia="仿宋" w:hAnsi="仿宋"/>
          <w:color w:val="000000" w:themeColor="text1"/>
          <w:sz w:val="27"/>
        </w:rPr>
      </w:pPr>
      <w:r>
        <w:rPr>
          <w:rFonts w:ascii="楷体" w:eastAsia="楷体" w:hAnsi="楷体" w:cs="仿宋" w:hint="eastAsia"/>
          <w:bCs/>
          <w:color w:val="000000" w:themeColor="text1"/>
          <w:sz w:val="32"/>
          <w:szCs w:val="32"/>
        </w:rPr>
        <w:t>（十四）开发利用国有林场森林资源</w:t>
      </w:r>
      <w:r>
        <w:rPr>
          <w:rFonts w:ascii="楷体" w:eastAsia="楷体" w:hAnsi="楷体" w:cs="仿宋" w:hint="eastAsia"/>
          <w:b/>
          <w:bCs/>
          <w:color w:val="000000" w:themeColor="text1"/>
          <w:sz w:val="32"/>
          <w:szCs w:val="32"/>
        </w:rPr>
        <w:t>。</w:t>
      </w:r>
      <w:r>
        <w:rPr>
          <w:rFonts w:ascii="仿宋" w:eastAsia="仿宋" w:hAnsi="仿宋" w:hint="eastAsia"/>
          <w:color w:val="000000" w:themeColor="text1"/>
          <w:sz w:val="32"/>
        </w:rPr>
        <w:t>引导各类经营主体分类有序开发利用国有林场森林资源，在严格保护生态以及对生态系统安全和生物多样性影响评估论证的前提下，允许利用非保护重点区域的天然林和二级国家级公益林以及地方公益林，适度发展生态旅游、休闲康养、特色种植养殖等产业。进一步放</w:t>
      </w:r>
      <w:proofErr w:type="gramStart"/>
      <w:r>
        <w:rPr>
          <w:rFonts w:ascii="仿宋" w:eastAsia="仿宋" w:hAnsi="仿宋" w:hint="eastAsia"/>
          <w:color w:val="000000" w:themeColor="text1"/>
          <w:sz w:val="32"/>
        </w:rPr>
        <w:t>活人工商品</w:t>
      </w:r>
      <w:proofErr w:type="gramEnd"/>
      <w:r>
        <w:rPr>
          <w:rFonts w:ascii="仿宋" w:eastAsia="仿宋" w:hAnsi="仿宋" w:hint="eastAsia"/>
          <w:color w:val="000000" w:themeColor="text1"/>
          <w:sz w:val="32"/>
        </w:rPr>
        <w:t>林经营权，在不破坏林木的前提下，由经营主体自主经营。开展国有林场公益性节地生态安葬（放）设施建设试点，补齐公益性安葬（放）设施配套不足短板，保障居民基本安葬（放）需求，逐渐治理散埋乱葬。（省民政厅、省自然资源厅、省林草局及各级人民政府按职责分工负责）</w:t>
      </w:r>
    </w:p>
    <w:p w:rsidR="009F2D3A" w:rsidRDefault="00D207E5">
      <w:pPr>
        <w:ind w:firstLineChars="200" w:firstLine="640"/>
        <w:rPr>
          <w:rFonts w:ascii="仿宋" w:eastAsia="仿宋" w:hAnsi="仿宋"/>
          <w:bCs/>
          <w:color w:val="000000" w:themeColor="text1"/>
          <w:sz w:val="32"/>
          <w:szCs w:val="32"/>
        </w:rPr>
      </w:pPr>
      <w:r>
        <w:rPr>
          <w:rFonts w:ascii="楷体" w:eastAsia="楷体" w:hAnsi="楷体" w:cs="仿宋" w:hint="eastAsia"/>
          <w:bCs/>
          <w:color w:val="000000" w:themeColor="text1"/>
          <w:sz w:val="32"/>
          <w:szCs w:val="32"/>
        </w:rPr>
        <w:t>（十五）推进国有林场三产融合发展。</w:t>
      </w:r>
      <w:r>
        <w:rPr>
          <w:rFonts w:ascii="仿宋" w:eastAsia="仿宋" w:hAnsi="仿宋" w:cs="仿宋" w:hint="eastAsia"/>
          <w:color w:val="000000" w:themeColor="text1"/>
          <w:sz w:val="32"/>
          <w:szCs w:val="32"/>
        </w:rPr>
        <w:t>坚持林下经济和旅游业两业并举，鼓励国有林场引入社会资本，挖掘</w:t>
      </w:r>
      <w:r>
        <w:rPr>
          <w:rFonts w:ascii="仿宋" w:eastAsia="仿宋" w:hAnsi="仿宋" w:cs="仿宋"/>
          <w:color w:val="000000" w:themeColor="text1"/>
          <w:sz w:val="32"/>
          <w:szCs w:val="32"/>
        </w:rPr>
        <w:t>资源资产潜力，</w:t>
      </w:r>
      <w:r>
        <w:rPr>
          <w:rFonts w:ascii="仿宋" w:eastAsia="仿宋" w:hAnsi="仿宋" w:cs="仿宋" w:hint="eastAsia"/>
          <w:color w:val="000000" w:themeColor="text1"/>
          <w:sz w:val="32"/>
          <w:szCs w:val="32"/>
        </w:rPr>
        <w:t>探索“国有林场+N”多元化经营模式，加快推进林下经济“种植（养殖）基地＋龙头企业＋产品深加工”一体化建设，大力发展生态旅游、森林康养、冰雪旅游、红色旅游、科普教育、</w:t>
      </w:r>
      <w:proofErr w:type="gramStart"/>
      <w:r>
        <w:rPr>
          <w:rFonts w:ascii="仿宋" w:eastAsia="仿宋" w:hAnsi="仿宋" w:cs="仿宋" w:hint="eastAsia"/>
          <w:color w:val="000000" w:themeColor="text1"/>
          <w:sz w:val="32"/>
          <w:szCs w:val="32"/>
        </w:rPr>
        <w:t>研</w:t>
      </w:r>
      <w:proofErr w:type="gramEnd"/>
      <w:r>
        <w:rPr>
          <w:rFonts w:ascii="仿宋" w:eastAsia="仿宋" w:hAnsi="仿宋" w:cs="仿宋" w:hint="eastAsia"/>
          <w:color w:val="000000" w:themeColor="text1"/>
          <w:sz w:val="32"/>
          <w:szCs w:val="32"/>
        </w:rPr>
        <w:t>学实践等绿色生态产业，</w:t>
      </w:r>
      <w:r>
        <w:rPr>
          <w:rFonts w:ascii="仿宋" w:eastAsia="仿宋" w:hAnsi="仿宋" w:hint="eastAsia"/>
          <w:bCs/>
          <w:color w:val="000000" w:themeColor="text1"/>
          <w:sz w:val="32"/>
          <w:szCs w:val="32"/>
        </w:rPr>
        <w:t>努力把国有林场建设成为集绿色森林食品、生态旅游康养、自然教育资源为一体的绿色转型</w:t>
      </w:r>
      <w:r>
        <w:rPr>
          <w:rFonts w:ascii="仿宋" w:eastAsia="仿宋" w:hAnsi="仿宋"/>
          <w:bCs/>
          <w:color w:val="000000" w:themeColor="text1"/>
          <w:sz w:val="32"/>
          <w:szCs w:val="32"/>
        </w:rPr>
        <w:t>发展</w:t>
      </w:r>
      <w:r>
        <w:rPr>
          <w:rFonts w:ascii="仿宋" w:eastAsia="仿宋" w:hAnsi="仿宋" w:hint="eastAsia"/>
          <w:bCs/>
          <w:color w:val="000000" w:themeColor="text1"/>
          <w:sz w:val="32"/>
          <w:szCs w:val="32"/>
        </w:rPr>
        <w:t>基地，为社会提供优质公共生态产品。（省林草局及各级人民政府按职责分工负责）</w:t>
      </w:r>
    </w:p>
    <w:p w:rsidR="009F2D3A" w:rsidRDefault="00D207E5">
      <w:pPr>
        <w:ind w:firstLineChars="200" w:firstLine="640"/>
        <w:rPr>
          <w:rFonts w:ascii="黑体" w:eastAsia="黑体" w:hAnsi="黑体"/>
          <w:color w:val="000000" w:themeColor="text1"/>
          <w:sz w:val="32"/>
        </w:rPr>
      </w:pPr>
      <w:r>
        <w:rPr>
          <w:rFonts w:ascii="黑体" w:eastAsia="黑体" w:hAnsi="黑体" w:hint="eastAsia"/>
          <w:color w:val="000000" w:themeColor="text1"/>
          <w:sz w:val="32"/>
        </w:rPr>
        <w:t>七、提升国有林场建设现代化水平</w:t>
      </w:r>
    </w:p>
    <w:p w:rsidR="009F2D3A" w:rsidRDefault="00D207E5">
      <w:pPr>
        <w:pStyle w:val="112"/>
        <w:ind w:firstLineChars="200" w:firstLine="640"/>
        <w:rPr>
          <w:rFonts w:ascii="仿宋" w:hAnsi="仿宋"/>
          <w:b w:val="0"/>
          <w:color w:val="000000" w:themeColor="text1"/>
          <w:sz w:val="32"/>
        </w:rPr>
      </w:pPr>
      <w:r>
        <w:rPr>
          <w:rFonts w:ascii="楷体" w:eastAsia="楷体" w:hAnsi="楷体" w:cs="仿宋" w:hint="eastAsia"/>
          <w:b w:val="0"/>
          <w:bCs/>
          <w:color w:val="000000" w:themeColor="text1"/>
          <w:sz w:val="32"/>
          <w:szCs w:val="32"/>
        </w:rPr>
        <w:lastRenderedPageBreak/>
        <w:t>（十六）加强国有林场基础设施</w:t>
      </w:r>
      <w:r>
        <w:rPr>
          <w:rFonts w:ascii="楷体" w:eastAsia="楷体" w:hAnsi="楷体" w:cs="仿宋"/>
          <w:b w:val="0"/>
          <w:bCs/>
          <w:color w:val="000000" w:themeColor="text1"/>
          <w:sz w:val="32"/>
          <w:szCs w:val="32"/>
        </w:rPr>
        <w:t>建设</w:t>
      </w:r>
      <w:r>
        <w:rPr>
          <w:rFonts w:ascii="楷体" w:eastAsia="楷体" w:hAnsi="楷体" w:cs="仿宋" w:hint="eastAsia"/>
          <w:b w:val="0"/>
          <w:bCs/>
          <w:color w:val="000000" w:themeColor="text1"/>
          <w:sz w:val="32"/>
          <w:szCs w:val="32"/>
        </w:rPr>
        <w:t>。</w:t>
      </w:r>
      <w:r>
        <w:rPr>
          <w:rFonts w:ascii="仿宋" w:eastAsia="仿宋" w:hAnsi="仿宋" w:hint="eastAsia"/>
          <w:b w:val="0"/>
          <w:color w:val="000000" w:themeColor="text1"/>
          <w:sz w:val="32"/>
        </w:rPr>
        <w:t>将国有林场</w:t>
      </w:r>
      <w:r>
        <w:rPr>
          <w:rFonts w:ascii="仿宋" w:eastAsia="仿宋" w:hAnsi="仿宋" w:cs="Times New Roman" w:hint="eastAsia"/>
          <w:b w:val="0"/>
          <w:bCs/>
          <w:color w:val="000000" w:themeColor="text1"/>
          <w:sz w:val="32"/>
          <w:szCs w:val="32"/>
        </w:rPr>
        <w:t>居住点</w:t>
      </w:r>
      <w:r>
        <w:rPr>
          <w:rFonts w:ascii="仿宋" w:eastAsia="仿宋" w:hAnsi="仿宋" w:hint="eastAsia"/>
          <w:b w:val="0"/>
          <w:color w:val="000000" w:themeColor="text1"/>
          <w:sz w:val="32"/>
        </w:rPr>
        <w:t>纳入农村人居环境整治提升范围，</w:t>
      </w:r>
      <w:r>
        <w:rPr>
          <w:rFonts w:ascii="仿宋" w:eastAsia="仿宋" w:hAnsi="仿宋" w:cs="Times New Roman" w:hint="eastAsia"/>
          <w:b w:val="0"/>
          <w:bCs/>
          <w:color w:val="000000" w:themeColor="text1"/>
          <w:sz w:val="32"/>
          <w:szCs w:val="32"/>
        </w:rPr>
        <w:t>统筹考虑、同步推进</w:t>
      </w:r>
      <w:r>
        <w:rPr>
          <w:rFonts w:ascii="仿宋" w:eastAsia="仿宋" w:hAnsi="仿宋" w:hint="eastAsia"/>
          <w:b w:val="0"/>
          <w:color w:val="000000" w:themeColor="text1"/>
          <w:sz w:val="32"/>
        </w:rPr>
        <w:t>。推动</w:t>
      </w:r>
      <w:r>
        <w:rPr>
          <w:rFonts w:ascii="仿宋" w:eastAsia="仿宋" w:hAnsi="仿宋"/>
          <w:b w:val="0"/>
          <w:color w:val="000000" w:themeColor="text1"/>
          <w:sz w:val="32"/>
        </w:rPr>
        <w:t>供水、供电、通讯、</w:t>
      </w:r>
      <w:r>
        <w:rPr>
          <w:rFonts w:ascii="仿宋" w:eastAsia="仿宋" w:hAnsi="仿宋" w:cs="Times New Roman"/>
          <w:b w:val="0"/>
          <w:bCs/>
          <w:color w:val="000000" w:themeColor="text1"/>
          <w:sz w:val="32"/>
          <w:szCs w:val="32"/>
        </w:rPr>
        <w:t>污水基础设施</w:t>
      </w:r>
      <w:r>
        <w:rPr>
          <w:rFonts w:ascii="仿宋" w:eastAsia="仿宋" w:hAnsi="仿宋" w:cs="Times New Roman" w:hint="eastAsia"/>
          <w:b w:val="0"/>
          <w:bCs/>
          <w:color w:val="000000" w:themeColor="text1"/>
          <w:sz w:val="32"/>
          <w:szCs w:val="32"/>
        </w:rPr>
        <w:t>及农村生活垃圾收运处置体系</w:t>
      </w:r>
      <w:r>
        <w:rPr>
          <w:rFonts w:ascii="仿宋" w:eastAsia="仿宋" w:hAnsi="仿宋" w:cs="Times New Roman"/>
          <w:b w:val="0"/>
          <w:bCs/>
          <w:color w:val="000000" w:themeColor="text1"/>
          <w:sz w:val="32"/>
          <w:szCs w:val="32"/>
        </w:rPr>
        <w:t>向国有林场延伸</w:t>
      </w:r>
      <w:r>
        <w:rPr>
          <w:rFonts w:ascii="仿宋" w:eastAsia="仿宋" w:hAnsi="仿宋" w:cs="Times New Roman" w:hint="eastAsia"/>
          <w:b w:val="0"/>
          <w:bCs/>
          <w:color w:val="000000" w:themeColor="text1"/>
          <w:sz w:val="32"/>
          <w:szCs w:val="32"/>
        </w:rPr>
        <w:t>。结合农村公益性基础设施建设和相关行业发展规划实施，支持林业产业路、旅游路、资源路等基础设施建设</w:t>
      </w:r>
      <w:r>
        <w:rPr>
          <w:rFonts w:ascii="仿宋" w:eastAsia="仿宋" w:hAnsi="仿宋" w:hint="eastAsia"/>
          <w:b w:val="0"/>
          <w:color w:val="000000" w:themeColor="text1"/>
          <w:sz w:val="32"/>
        </w:rPr>
        <w:t>。完善森林保护培育基础设施，合理配备林业现代化机械设备。推动国有林场“互联网</w:t>
      </w:r>
      <w:r>
        <w:rPr>
          <w:rFonts w:ascii="仿宋" w:eastAsia="仿宋" w:hAnsi="仿宋"/>
          <w:b w:val="0"/>
          <w:color w:val="000000" w:themeColor="text1"/>
          <w:sz w:val="32"/>
        </w:rPr>
        <w:t>+</w:t>
      </w:r>
      <w:r>
        <w:rPr>
          <w:rFonts w:ascii="仿宋" w:eastAsia="仿宋" w:hAnsi="仿宋" w:hint="eastAsia"/>
          <w:b w:val="0"/>
          <w:color w:val="000000" w:themeColor="text1"/>
          <w:sz w:val="32"/>
        </w:rPr>
        <w:t>”建设</w:t>
      </w:r>
      <w:r>
        <w:rPr>
          <w:rFonts w:ascii="仿宋" w:eastAsia="仿宋" w:hAnsi="仿宋"/>
          <w:b w:val="0"/>
          <w:color w:val="000000" w:themeColor="text1"/>
          <w:sz w:val="32"/>
        </w:rPr>
        <w:t>，</w:t>
      </w:r>
      <w:r>
        <w:rPr>
          <w:rFonts w:ascii="仿宋" w:eastAsia="仿宋" w:hAnsi="仿宋" w:hint="eastAsia"/>
          <w:b w:val="0"/>
          <w:color w:val="000000" w:themeColor="text1"/>
          <w:sz w:val="32"/>
        </w:rPr>
        <w:t>积极构建森林资源管护、森林防火预警、林业有害生物和</w:t>
      </w:r>
      <w:r>
        <w:rPr>
          <w:rFonts w:ascii="仿宋" w:eastAsia="仿宋" w:hAnsi="仿宋"/>
          <w:b w:val="0"/>
          <w:color w:val="000000" w:themeColor="text1"/>
          <w:sz w:val="32"/>
        </w:rPr>
        <w:t>野生动物</w:t>
      </w:r>
      <w:r>
        <w:rPr>
          <w:rFonts w:ascii="仿宋" w:eastAsia="仿宋" w:hAnsi="仿宋" w:hint="eastAsia"/>
          <w:b w:val="0"/>
          <w:color w:val="000000" w:themeColor="text1"/>
          <w:sz w:val="32"/>
        </w:rPr>
        <w:t>监测等视频监控系统平台，</w:t>
      </w:r>
      <w:r>
        <w:rPr>
          <w:rFonts w:ascii="仿宋" w:eastAsia="仿宋" w:hAnsi="仿宋"/>
          <w:b w:val="0"/>
          <w:color w:val="000000" w:themeColor="text1"/>
          <w:sz w:val="32"/>
        </w:rPr>
        <w:t>提高</w:t>
      </w:r>
      <w:r>
        <w:rPr>
          <w:rFonts w:ascii="仿宋" w:eastAsia="仿宋" w:hAnsi="仿宋" w:hint="eastAsia"/>
          <w:b w:val="0"/>
          <w:color w:val="000000" w:themeColor="text1"/>
          <w:sz w:val="32"/>
        </w:rPr>
        <w:t>国有林场管理数字化网格化精细化水平。（省发展改革委、省财政厅、省生态环境厅、省交通运输厅、省水利厅、省农业农村厅、</w:t>
      </w:r>
      <w:proofErr w:type="gramStart"/>
      <w:r>
        <w:rPr>
          <w:rFonts w:ascii="仿宋" w:eastAsia="仿宋" w:hAnsi="仿宋" w:hint="eastAsia"/>
          <w:b w:val="0"/>
          <w:color w:val="000000" w:themeColor="text1"/>
          <w:sz w:val="32"/>
        </w:rPr>
        <w:t>省住建</w:t>
      </w:r>
      <w:proofErr w:type="gramEnd"/>
      <w:r>
        <w:rPr>
          <w:rFonts w:ascii="仿宋" w:eastAsia="仿宋" w:hAnsi="仿宋" w:hint="eastAsia"/>
          <w:b w:val="0"/>
          <w:color w:val="000000" w:themeColor="text1"/>
          <w:sz w:val="32"/>
        </w:rPr>
        <w:t>厅、省政数局、省林草局及各级人民政府按职责分工负责）</w:t>
      </w:r>
    </w:p>
    <w:p w:rsidR="009F2D3A" w:rsidRDefault="00D207E5">
      <w:pPr>
        <w:pStyle w:val="112"/>
        <w:ind w:firstLineChars="200" w:firstLine="640"/>
        <w:rPr>
          <w:rFonts w:ascii="黑体" w:eastAsia="黑体" w:hAnsi="黑体"/>
          <w:b w:val="0"/>
          <w:color w:val="000000" w:themeColor="text1"/>
          <w:sz w:val="32"/>
        </w:rPr>
      </w:pPr>
      <w:r>
        <w:rPr>
          <w:rFonts w:ascii="黑体" w:eastAsia="黑体" w:hAnsi="黑体" w:hint="eastAsia"/>
          <w:b w:val="0"/>
          <w:color w:val="000000" w:themeColor="text1"/>
          <w:sz w:val="32"/>
        </w:rPr>
        <w:t>八、建设和谐美丽林区新模式</w:t>
      </w:r>
    </w:p>
    <w:p w:rsidR="009F2D3A" w:rsidRDefault="00D207E5">
      <w:pPr>
        <w:spacing w:line="600" w:lineRule="exact"/>
        <w:ind w:firstLineChars="200" w:firstLine="640"/>
        <w:rPr>
          <w:rFonts w:ascii="仿宋" w:eastAsia="仿宋" w:hAnsi="仿宋"/>
          <w:bCs/>
          <w:color w:val="000000" w:themeColor="text1"/>
          <w:sz w:val="32"/>
          <w:szCs w:val="32"/>
        </w:rPr>
      </w:pPr>
      <w:r>
        <w:rPr>
          <w:rFonts w:ascii="楷体" w:eastAsia="楷体" w:hAnsi="楷体" w:cs="仿宋" w:hint="eastAsia"/>
          <w:bCs/>
          <w:color w:val="000000" w:themeColor="text1"/>
          <w:sz w:val="32"/>
          <w:szCs w:val="32"/>
        </w:rPr>
        <w:t>（十七）建设富裕和谐林区。</w:t>
      </w:r>
      <w:r>
        <w:rPr>
          <w:rFonts w:ascii="仿宋" w:eastAsia="仿宋" w:hAnsi="仿宋" w:hint="eastAsia"/>
          <w:bCs/>
          <w:color w:val="000000" w:themeColor="text1"/>
          <w:sz w:val="32"/>
          <w:szCs w:val="32"/>
        </w:rPr>
        <w:t>将</w:t>
      </w:r>
      <w:r>
        <w:rPr>
          <w:rFonts w:ascii="仿宋" w:eastAsia="仿宋" w:hAnsi="仿宋"/>
          <w:bCs/>
          <w:color w:val="000000" w:themeColor="text1"/>
          <w:sz w:val="32"/>
          <w:szCs w:val="32"/>
        </w:rPr>
        <w:t>林场林区</w:t>
      </w:r>
      <w:r>
        <w:rPr>
          <w:rFonts w:ascii="仿宋" w:eastAsia="仿宋" w:hAnsi="仿宋" w:hint="eastAsia"/>
          <w:bCs/>
          <w:color w:val="000000" w:themeColor="text1"/>
          <w:sz w:val="32"/>
          <w:szCs w:val="32"/>
        </w:rPr>
        <w:t>建设</w:t>
      </w:r>
      <w:r>
        <w:rPr>
          <w:rFonts w:ascii="仿宋" w:eastAsia="仿宋" w:hAnsi="仿宋"/>
          <w:bCs/>
          <w:color w:val="000000" w:themeColor="text1"/>
          <w:sz w:val="32"/>
          <w:szCs w:val="32"/>
        </w:rPr>
        <w:t>发展纳入地方</w:t>
      </w:r>
      <w:r>
        <w:rPr>
          <w:rFonts w:ascii="仿宋" w:eastAsia="仿宋" w:hAnsi="仿宋" w:hint="eastAsia"/>
          <w:bCs/>
          <w:color w:val="000000" w:themeColor="text1"/>
          <w:sz w:val="32"/>
          <w:szCs w:val="32"/>
        </w:rPr>
        <w:t>经济社会发展规划和</w:t>
      </w:r>
      <w:r>
        <w:rPr>
          <w:rFonts w:ascii="仿宋" w:eastAsia="仿宋" w:hAnsi="仿宋"/>
          <w:bCs/>
          <w:color w:val="000000" w:themeColor="text1"/>
          <w:sz w:val="32"/>
          <w:szCs w:val="32"/>
        </w:rPr>
        <w:t>专项</w:t>
      </w:r>
      <w:r>
        <w:rPr>
          <w:rFonts w:ascii="仿宋" w:eastAsia="仿宋" w:hAnsi="仿宋" w:hint="eastAsia"/>
          <w:bCs/>
          <w:color w:val="000000" w:themeColor="text1"/>
          <w:sz w:val="32"/>
          <w:szCs w:val="32"/>
        </w:rPr>
        <w:t>发展规划</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统筹推进林场</w:t>
      </w:r>
      <w:r>
        <w:rPr>
          <w:rFonts w:ascii="仿宋" w:eastAsia="仿宋" w:hAnsi="仿宋"/>
          <w:bCs/>
          <w:color w:val="000000" w:themeColor="text1"/>
          <w:sz w:val="32"/>
          <w:szCs w:val="32"/>
        </w:rPr>
        <w:t>林区</w:t>
      </w:r>
      <w:r>
        <w:rPr>
          <w:rFonts w:ascii="仿宋" w:eastAsia="仿宋" w:hAnsi="仿宋" w:hint="eastAsia"/>
          <w:bCs/>
          <w:color w:val="000000" w:themeColor="text1"/>
          <w:sz w:val="32"/>
          <w:szCs w:val="32"/>
        </w:rPr>
        <w:t>和周边村镇</w:t>
      </w:r>
      <w:r>
        <w:rPr>
          <w:rFonts w:ascii="仿宋" w:eastAsia="仿宋" w:hAnsi="仿宋"/>
          <w:bCs/>
          <w:color w:val="000000" w:themeColor="text1"/>
          <w:sz w:val="32"/>
          <w:szCs w:val="32"/>
        </w:rPr>
        <w:t>融合发展</w:t>
      </w:r>
      <w:r>
        <w:rPr>
          <w:rFonts w:ascii="仿宋" w:eastAsia="仿宋" w:hAnsi="仿宋" w:hint="eastAsia"/>
          <w:bCs/>
          <w:color w:val="000000" w:themeColor="text1"/>
          <w:sz w:val="32"/>
          <w:szCs w:val="32"/>
        </w:rPr>
        <w:t>。通过购买服务、转岗就业创业、发展特色产业等方式增加职工和农户收入，实现林场职工和林农共同富裕，助推乡村振兴。建立矛盾化解机制，妥善处理历史遗留问题，主动化解林场与职工、村镇、农（牧）民之间的矛盾，</w:t>
      </w:r>
      <w:proofErr w:type="gramStart"/>
      <w:r>
        <w:rPr>
          <w:rFonts w:ascii="仿宋" w:eastAsia="仿宋" w:hAnsi="仿宋" w:hint="eastAsia"/>
          <w:bCs/>
          <w:color w:val="000000" w:themeColor="text1"/>
          <w:sz w:val="32"/>
          <w:szCs w:val="32"/>
        </w:rPr>
        <w:t>打造场群</w:t>
      </w:r>
      <w:proofErr w:type="gramEnd"/>
      <w:r>
        <w:rPr>
          <w:rFonts w:ascii="仿宋" w:eastAsia="仿宋" w:hAnsi="仿宋" w:hint="eastAsia"/>
          <w:bCs/>
          <w:color w:val="000000" w:themeColor="text1"/>
          <w:sz w:val="32"/>
          <w:szCs w:val="32"/>
        </w:rPr>
        <w:t>互联互助，共建富裕、文明、和谐、美丽的社会主义新林区。（</w:t>
      </w:r>
      <w:bookmarkStart w:id="0" w:name="_GoBack"/>
      <w:bookmarkEnd w:id="0"/>
      <w:r>
        <w:rPr>
          <w:rFonts w:ascii="仿宋" w:eastAsia="仿宋" w:hAnsi="仿宋" w:hint="eastAsia"/>
          <w:bCs/>
          <w:color w:val="000000" w:themeColor="text1"/>
          <w:sz w:val="32"/>
          <w:szCs w:val="32"/>
        </w:rPr>
        <w:t>省林草局及各级人民政府按职责分工负责）</w:t>
      </w:r>
    </w:p>
    <w:p w:rsidR="009F2D3A" w:rsidRDefault="00D207E5">
      <w:pPr>
        <w:ind w:firstLineChars="200" w:firstLine="640"/>
        <w:rPr>
          <w:rFonts w:ascii="仿宋" w:eastAsia="仿宋" w:hAnsi="仿宋"/>
          <w:color w:val="000000" w:themeColor="text1"/>
          <w:sz w:val="32"/>
        </w:rPr>
      </w:pPr>
      <w:r>
        <w:rPr>
          <w:rFonts w:ascii="楷体" w:eastAsia="楷体" w:hAnsi="楷体" w:cs="仿宋" w:hint="eastAsia"/>
          <w:bCs/>
          <w:color w:val="000000" w:themeColor="text1"/>
          <w:sz w:val="32"/>
          <w:szCs w:val="32"/>
        </w:rPr>
        <w:lastRenderedPageBreak/>
        <w:t>（十八）建设林场文化。</w:t>
      </w:r>
      <w:r>
        <w:rPr>
          <w:rFonts w:ascii="仿宋" w:eastAsia="仿宋" w:hAnsi="仿宋" w:hint="eastAsia"/>
          <w:bCs/>
          <w:color w:val="000000" w:themeColor="text1"/>
          <w:sz w:val="32"/>
          <w:szCs w:val="32"/>
        </w:rPr>
        <w:t>加强</w:t>
      </w:r>
      <w:r>
        <w:rPr>
          <w:rFonts w:ascii="仿宋" w:eastAsia="仿宋" w:hAnsi="仿宋"/>
          <w:bCs/>
          <w:color w:val="000000" w:themeColor="text1"/>
          <w:sz w:val="32"/>
          <w:szCs w:val="32"/>
        </w:rPr>
        <w:t>党的建设，</w:t>
      </w:r>
      <w:r>
        <w:rPr>
          <w:rFonts w:ascii="仿宋" w:eastAsia="仿宋" w:hAnsi="仿宋" w:hint="eastAsia"/>
          <w:bCs/>
          <w:color w:val="000000" w:themeColor="text1"/>
          <w:sz w:val="32"/>
          <w:szCs w:val="32"/>
        </w:rPr>
        <w:t>弘扬</w:t>
      </w:r>
      <w:r>
        <w:rPr>
          <w:rFonts w:ascii="仿宋" w:eastAsia="仿宋" w:hAnsi="仿宋" w:hint="eastAsia"/>
          <w:color w:val="000000" w:themeColor="text1"/>
          <w:sz w:val="32"/>
        </w:rPr>
        <w:t>“牢记使命、艰苦</w:t>
      </w:r>
      <w:r>
        <w:rPr>
          <w:rFonts w:ascii="仿宋" w:eastAsia="仿宋" w:hAnsi="仿宋"/>
          <w:color w:val="000000" w:themeColor="text1"/>
          <w:sz w:val="32"/>
        </w:rPr>
        <w:t>创业</w:t>
      </w:r>
      <w:r>
        <w:rPr>
          <w:rFonts w:ascii="仿宋" w:eastAsia="仿宋" w:hAnsi="仿宋" w:hint="eastAsia"/>
          <w:color w:val="000000" w:themeColor="text1"/>
          <w:sz w:val="32"/>
        </w:rPr>
        <w:t>、绿色发展”的塞罕坝</w:t>
      </w:r>
      <w:r>
        <w:rPr>
          <w:rFonts w:ascii="仿宋" w:eastAsia="仿宋" w:hAnsi="仿宋" w:hint="eastAsia"/>
          <w:bCs/>
          <w:color w:val="000000" w:themeColor="text1"/>
          <w:sz w:val="32"/>
          <w:szCs w:val="32"/>
        </w:rPr>
        <w:t>精神。建设林场文化，增强干部职工的凝聚力和创造力，</w:t>
      </w:r>
      <w:r>
        <w:rPr>
          <w:rFonts w:ascii="仿宋" w:eastAsia="仿宋" w:hAnsi="仿宋"/>
          <w:bCs/>
          <w:color w:val="000000" w:themeColor="text1"/>
          <w:sz w:val="32"/>
          <w:szCs w:val="32"/>
        </w:rPr>
        <w:t>提升精神文明</w:t>
      </w:r>
      <w:r>
        <w:rPr>
          <w:rFonts w:ascii="仿宋" w:eastAsia="仿宋" w:hAnsi="仿宋" w:hint="eastAsia"/>
          <w:bCs/>
          <w:color w:val="000000" w:themeColor="text1"/>
          <w:sz w:val="32"/>
          <w:szCs w:val="32"/>
        </w:rPr>
        <w:t>和</w:t>
      </w:r>
      <w:r>
        <w:rPr>
          <w:rFonts w:ascii="仿宋" w:eastAsia="仿宋" w:hAnsi="仿宋"/>
          <w:bCs/>
          <w:color w:val="000000" w:themeColor="text1"/>
          <w:sz w:val="32"/>
          <w:szCs w:val="32"/>
        </w:rPr>
        <w:t>生态文明水平</w:t>
      </w:r>
      <w:r>
        <w:rPr>
          <w:rFonts w:ascii="仿宋" w:eastAsia="仿宋" w:hAnsi="仿宋" w:hint="eastAsia"/>
          <w:bCs/>
          <w:color w:val="000000" w:themeColor="text1"/>
          <w:sz w:val="32"/>
          <w:szCs w:val="32"/>
        </w:rPr>
        <w:t>。通过改善场容场貌、开展绿化</w:t>
      </w:r>
      <w:r>
        <w:rPr>
          <w:rFonts w:ascii="仿宋" w:eastAsia="仿宋" w:hAnsi="仿宋"/>
          <w:bCs/>
          <w:color w:val="000000" w:themeColor="text1"/>
          <w:sz w:val="32"/>
          <w:szCs w:val="32"/>
        </w:rPr>
        <w:t>美化</w:t>
      </w:r>
      <w:r>
        <w:rPr>
          <w:rFonts w:ascii="仿宋" w:eastAsia="仿宋" w:hAnsi="仿宋" w:hint="eastAsia"/>
          <w:bCs/>
          <w:color w:val="000000" w:themeColor="text1"/>
          <w:sz w:val="32"/>
          <w:szCs w:val="32"/>
        </w:rPr>
        <w:t>和修建文化娱乐设施，带动乡村建设和环境改善，丰富职工群众业余文化生活。</w:t>
      </w:r>
      <w:r>
        <w:rPr>
          <w:rFonts w:ascii="仿宋" w:eastAsia="仿宋" w:hAnsi="仿宋" w:hint="eastAsia"/>
          <w:color w:val="000000" w:themeColor="text1"/>
          <w:sz w:val="32"/>
        </w:rPr>
        <w:t>（省林草局及</w:t>
      </w:r>
      <w:r>
        <w:rPr>
          <w:rFonts w:ascii="仿宋" w:eastAsia="仿宋" w:hAnsi="仿宋" w:hint="eastAsia"/>
          <w:bCs/>
          <w:color w:val="000000" w:themeColor="text1"/>
          <w:sz w:val="32"/>
          <w:szCs w:val="32"/>
        </w:rPr>
        <w:t>各级人民政府</w:t>
      </w:r>
      <w:r>
        <w:rPr>
          <w:rFonts w:ascii="仿宋" w:eastAsia="仿宋" w:hAnsi="仿宋" w:hint="eastAsia"/>
          <w:color w:val="000000" w:themeColor="text1"/>
          <w:sz w:val="32"/>
        </w:rPr>
        <w:t>按职责分工负责）</w:t>
      </w:r>
    </w:p>
    <w:p w:rsidR="009F2D3A" w:rsidRDefault="00D207E5">
      <w:pPr>
        <w:widowControl/>
        <w:shd w:val="clear" w:color="auto" w:fill="FFFFFF"/>
        <w:spacing w:line="450" w:lineRule="atLeast"/>
        <w:ind w:firstLineChars="200" w:firstLine="640"/>
        <w:rPr>
          <w:rFonts w:ascii="黑体" w:eastAsia="黑体" w:hAnsi="黑体"/>
          <w:color w:val="000000" w:themeColor="text1"/>
          <w:sz w:val="32"/>
        </w:rPr>
      </w:pPr>
      <w:r>
        <w:rPr>
          <w:rFonts w:ascii="黑体" w:eastAsia="黑体" w:hAnsi="黑体" w:hint="eastAsia"/>
          <w:color w:val="000000" w:themeColor="text1"/>
          <w:sz w:val="32"/>
        </w:rPr>
        <w:t>九、加强组织实施</w:t>
      </w:r>
    </w:p>
    <w:p w:rsidR="009F2D3A" w:rsidRDefault="00D207E5">
      <w:pPr>
        <w:ind w:firstLineChars="200" w:firstLine="640"/>
        <w:rPr>
          <w:rFonts w:ascii="仿宋" w:eastAsia="仿宋" w:hAnsi="仿宋"/>
          <w:bCs/>
          <w:color w:val="000000" w:themeColor="text1"/>
          <w:sz w:val="32"/>
          <w:szCs w:val="32"/>
        </w:rPr>
      </w:pPr>
      <w:r>
        <w:rPr>
          <w:rFonts w:ascii="楷体" w:eastAsia="楷体" w:hAnsi="楷体" w:hint="eastAsia"/>
          <w:color w:val="000000" w:themeColor="text1"/>
          <w:sz w:val="32"/>
        </w:rPr>
        <w:t>（</w:t>
      </w:r>
      <w:r>
        <w:rPr>
          <w:rFonts w:ascii="楷体" w:eastAsia="楷体" w:hAnsi="楷体" w:cs="楷体" w:hint="eastAsia"/>
          <w:bCs/>
          <w:color w:val="000000" w:themeColor="text1"/>
          <w:sz w:val="32"/>
          <w:szCs w:val="32"/>
        </w:rPr>
        <w:t>十九</w:t>
      </w:r>
      <w:r>
        <w:rPr>
          <w:rFonts w:ascii="楷体" w:eastAsia="楷体" w:hAnsi="楷体" w:hint="eastAsia"/>
          <w:color w:val="000000" w:themeColor="text1"/>
          <w:sz w:val="32"/>
        </w:rPr>
        <w:t>）加强组织领导。</w:t>
      </w:r>
      <w:r>
        <w:rPr>
          <w:rFonts w:ascii="仿宋" w:eastAsia="仿宋" w:hAnsi="仿宋" w:hint="eastAsia"/>
          <w:bCs/>
          <w:color w:val="000000" w:themeColor="text1"/>
          <w:sz w:val="32"/>
          <w:szCs w:val="32"/>
        </w:rPr>
        <w:t>各地要高度重视国有林场工作，切实履行属地管理责任，定期研究解决国有林场改革发展重大问题。林草主管部门要做好统筹协调和服务指导工作；省直各相关部门要加大支持力度，按照职责分工合力推进国有林场建设</w:t>
      </w:r>
      <w:r>
        <w:rPr>
          <w:rFonts w:ascii="仿宋" w:eastAsia="仿宋" w:hAnsi="仿宋"/>
          <w:bCs/>
          <w:color w:val="000000" w:themeColor="text1"/>
          <w:sz w:val="32"/>
          <w:szCs w:val="32"/>
        </w:rPr>
        <w:t>与</w:t>
      </w:r>
      <w:r>
        <w:rPr>
          <w:rFonts w:ascii="仿宋" w:eastAsia="仿宋" w:hAnsi="仿宋" w:hint="eastAsia"/>
          <w:bCs/>
          <w:color w:val="000000" w:themeColor="text1"/>
          <w:sz w:val="32"/>
          <w:szCs w:val="32"/>
        </w:rPr>
        <w:t>发展。</w:t>
      </w:r>
    </w:p>
    <w:p w:rsidR="009F2D3A" w:rsidRDefault="00D207E5" w:rsidP="00A659CF">
      <w:pPr>
        <w:pStyle w:val="112"/>
        <w:ind w:firstLineChars="200" w:firstLine="640"/>
        <w:rPr>
          <w:rFonts w:ascii="仿宋" w:eastAsia="仿宋" w:hAnsi="仿宋"/>
          <w:color w:val="000000" w:themeColor="text1"/>
        </w:rPr>
      </w:pPr>
      <w:r>
        <w:rPr>
          <w:rFonts w:ascii="楷体" w:eastAsia="楷体" w:hAnsi="楷体" w:cs="Times New Roman" w:hint="eastAsia"/>
          <w:b w:val="0"/>
          <w:color w:val="000000" w:themeColor="text1"/>
          <w:sz w:val="32"/>
        </w:rPr>
        <w:t>（二十）有序推进实施。</w:t>
      </w:r>
      <w:r>
        <w:rPr>
          <w:rFonts w:ascii="仿宋" w:eastAsia="仿宋" w:hAnsi="仿宋" w:cs="Times New Roman" w:hint="eastAsia"/>
          <w:b w:val="0"/>
          <w:bCs/>
          <w:color w:val="000000" w:themeColor="text1"/>
          <w:sz w:val="32"/>
          <w:szCs w:val="32"/>
        </w:rPr>
        <w:t>建立现代化国有林场省市共建模式，集中打造16个经营科学、设施完备、绿色发展的现代国有林场示范样板基础上，</w:t>
      </w:r>
      <w:r w:rsidR="00776B14">
        <w:rPr>
          <w:rFonts w:ascii="仿宋" w:eastAsia="仿宋" w:hAnsi="仿宋" w:cs="Times New Roman" w:hint="eastAsia"/>
          <w:b w:val="0"/>
          <w:bCs/>
          <w:color w:val="000000" w:themeColor="text1"/>
          <w:sz w:val="32"/>
          <w:szCs w:val="32"/>
        </w:rPr>
        <w:t>制定现代国有林场建设评价量化指标，</w:t>
      </w:r>
      <w:r>
        <w:rPr>
          <w:rFonts w:ascii="仿宋" w:eastAsia="仿宋" w:hAnsi="仿宋" w:hint="eastAsia"/>
          <w:b w:val="0"/>
          <w:color w:val="000000" w:themeColor="text1"/>
          <w:sz w:val="32"/>
        </w:rPr>
        <w:t>鼓励各地因地制宜、因场施策，编制现代国有林场建设方案，定期开展现代国有林场申报、验收及命名，稳步推进全省国有林场现代化建设。</w:t>
      </w:r>
    </w:p>
    <w:p w:rsidR="009F2D3A" w:rsidRDefault="00D207E5">
      <w:pPr>
        <w:pStyle w:val="112"/>
        <w:ind w:firstLineChars="200" w:firstLine="640"/>
        <w:rPr>
          <w:rFonts w:ascii="仿宋" w:eastAsia="仿宋" w:hAnsi="仿宋"/>
          <w:b w:val="0"/>
          <w:color w:val="000000" w:themeColor="text1"/>
          <w:sz w:val="32"/>
        </w:rPr>
      </w:pPr>
      <w:r>
        <w:rPr>
          <w:rFonts w:ascii="楷体" w:eastAsia="楷体" w:hAnsi="楷体" w:cs="Times New Roman" w:hint="eastAsia"/>
          <w:b w:val="0"/>
          <w:color w:val="000000" w:themeColor="text1"/>
          <w:sz w:val="32"/>
        </w:rPr>
        <w:t>（二十一）强化政策支持。</w:t>
      </w:r>
      <w:r>
        <w:rPr>
          <w:rFonts w:ascii="仿宋" w:eastAsia="仿宋" w:hAnsi="仿宋" w:hint="eastAsia"/>
          <w:b w:val="0"/>
          <w:color w:val="000000" w:themeColor="text1"/>
          <w:sz w:val="32"/>
        </w:rPr>
        <w:t>具备条件的支农惠农政策可适用于国有林场。国有林场内经营的合法耕地可按规定享受相关支农惠农政策。支持“秸秆变肉”暨千万头肉牛建设工程政策适用于国有林场。购置纳入国家农机补贴种类范围的</w:t>
      </w:r>
      <w:r>
        <w:rPr>
          <w:rFonts w:ascii="仿宋" w:eastAsia="仿宋" w:hAnsi="仿宋" w:hint="eastAsia"/>
          <w:b w:val="0"/>
          <w:color w:val="000000" w:themeColor="text1"/>
          <w:sz w:val="32"/>
        </w:rPr>
        <w:lastRenderedPageBreak/>
        <w:t>农机产品和成套设备可申请享受农机购置补贴。国有林场森林资源</w:t>
      </w:r>
      <w:r>
        <w:rPr>
          <w:rFonts w:ascii="仿宋" w:eastAsia="仿宋" w:hAnsi="仿宋"/>
          <w:b w:val="0"/>
          <w:color w:val="000000" w:themeColor="text1"/>
          <w:sz w:val="32"/>
        </w:rPr>
        <w:t>的</w:t>
      </w:r>
      <w:r>
        <w:rPr>
          <w:rFonts w:ascii="仿宋" w:eastAsia="仿宋" w:hAnsi="仿宋" w:hint="eastAsia"/>
          <w:b w:val="0"/>
          <w:color w:val="000000" w:themeColor="text1"/>
          <w:sz w:val="32"/>
        </w:rPr>
        <w:t>政策性森林保险做到</w:t>
      </w:r>
      <w:r>
        <w:rPr>
          <w:rFonts w:ascii="仿宋" w:eastAsia="仿宋" w:hAnsi="仿宋"/>
          <w:b w:val="0"/>
          <w:color w:val="000000" w:themeColor="text1"/>
          <w:sz w:val="32"/>
        </w:rPr>
        <w:t>应保尽保，实现</w:t>
      </w:r>
      <w:r>
        <w:rPr>
          <w:rFonts w:ascii="仿宋" w:eastAsia="仿宋" w:hAnsi="仿宋" w:hint="eastAsia"/>
          <w:b w:val="0"/>
          <w:color w:val="000000" w:themeColor="text1"/>
          <w:sz w:val="32"/>
        </w:rPr>
        <w:t>森林保险全覆盖，提高国有林场抵御自然灾害能力。结合国有林场需求和地区特色，谋划特色经济林等森林叠加保险。支持国有林场开展</w:t>
      </w:r>
      <w:proofErr w:type="gramStart"/>
      <w:r>
        <w:rPr>
          <w:rFonts w:ascii="仿宋" w:eastAsia="仿宋" w:hAnsi="仿宋" w:hint="eastAsia"/>
          <w:b w:val="0"/>
          <w:color w:val="000000" w:themeColor="text1"/>
          <w:sz w:val="32"/>
        </w:rPr>
        <w:t>林草碳汇计量</w:t>
      </w:r>
      <w:proofErr w:type="gramEnd"/>
      <w:r>
        <w:rPr>
          <w:rFonts w:ascii="仿宋" w:eastAsia="仿宋" w:hAnsi="仿宋" w:hint="eastAsia"/>
          <w:b w:val="0"/>
          <w:color w:val="000000" w:themeColor="text1"/>
          <w:sz w:val="32"/>
        </w:rPr>
        <w:t>监测工作，推进区域性</w:t>
      </w:r>
      <w:proofErr w:type="gramStart"/>
      <w:r>
        <w:rPr>
          <w:rFonts w:ascii="仿宋" w:eastAsia="仿宋" w:hAnsi="仿宋" w:hint="eastAsia"/>
          <w:b w:val="0"/>
          <w:color w:val="000000" w:themeColor="text1"/>
          <w:sz w:val="32"/>
        </w:rPr>
        <w:t>林业碳汇交易</w:t>
      </w:r>
      <w:proofErr w:type="gramEnd"/>
      <w:r>
        <w:rPr>
          <w:rFonts w:ascii="仿宋" w:eastAsia="仿宋" w:hAnsi="仿宋" w:hint="eastAsia"/>
          <w:b w:val="0"/>
          <w:color w:val="000000" w:themeColor="text1"/>
          <w:sz w:val="32"/>
        </w:rPr>
        <w:t>，探索生态资源权益交易和生态产品资产证券化路径。（省发展改革委、省财政厅、省农业农村厅、省林草局、</w:t>
      </w:r>
      <w:r>
        <w:rPr>
          <w:rFonts w:ascii="仿宋" w:eastAsia="仿宋" w:hAnsi="仿宋" w:cs="仿宋" w:hint="eastAsia"/>
          <w:b w:val="0"/>
          <w:color w:val="auto"/>
          <w:sz w:val="32"/>
          <w:szCs w:val="32"/>
        </w:rPr>
        <w:t>国家金融监管总局吉林分局</w:t>
      </w:r>
      <w:r>
        <w:rPr>
          <w:rFonts w:ascii="仿宋" w:eastAsia="仿宋" w:hAnsi="仿宋" w:hint="eastAsia"/>
          <w:b w:val="0"/>
          <w:color w:val="000000" w:themeColor="text1"/>
          <w:sz w:val="32"/>
        </w:rPr>
        <w:t>及各级人民政府按职责分工负责）</w:t>
      </w:r>
    </w:p>
    <w:p w:rsidR="009F2D3A" w:rsidRDefault="00D207E5">
      <w:pPr>
        <w:ind w:firstLineChars="200" w:firstLine="640"/>
        <w:rPr>
          <w:rFonts w:ascii="仿宋" w:eastAsia="仿宋" w:hAnsi="仿宋" w:cs="宋体"/>
          <w:color w:val="000000" w:themeColor="text1"/>
          <w:sz w:val="32"/>
        </w:rPr>
      </w:pPr>
      <w:r>
        <w:rPr>
          <w:rFonts w:ascii="楷体" w:eastAsia="楷体" w:hAnsi="楷体" w:hint="eastAsia"/>
          <w:color w:val="000000" w:themeColor="text1"/>
          <w:sz w:val="32"/>
        </w:rPr>
        <w:t>（二十二）加大财政保障。</w:t>
      </w:r>
      <w:r>
        <w:rPr>
          <w:rFonts w:ascii="仿宋" w:eastAsia="仿宋" w:hAnsi="仿宋" w:cs="宋体" w:hint="eastAsia"/>
          <w:color w:val="000000" w:themeColor="text1"/>
          <w:sz w:val="32"/>
        </w:rPr>
        <w:t>国有林场员额及公用经费要纳入同级政府财政预算，确保财政供给。要统筹林业等专项资金，加大对现代林场建设支持力度。加大金融机构参与国有林场生态保护修复和产业发展力度，拓宽国有林场融资渠道。积极争取中央专项资金，支持国有林场防火道路、管护用房等基础设施建设。（省发展改革委、省财政厅、省林草局及各级人民政府按职责分工负责）</w:t>
      </w:r>
    </w:p>
    <w:p w:rsidR="009F2D3A" w:rsidRDefault="00D207E5">
      <w:pPr>
        <w:pStyle w:val="112"/>
        <w:jc w:val="left"/>
        <w:rPr>
          <w:rFonts w:ascii="仿宋" w:eastAsia="仿宋" w:hAnsi="仿宋"/>
          <w:b w:val="0"/>
          <w:color w:val="000000" w:themeColor="text1"/>
          <w:sz w:val="32"/>
          <w:highlight w:val="green"/>
        </w:rPr>
      </w:pPr>
      <w:r>
        <w:rPr>
          <w:rFonts w:ascii="仿宋" w:eastAsia="仿宋" w:hAnsi="仿宋" w:hint="eastAsia"/>
          <w:b w:val="0"/>
          <w:color w:val="000000" w:themeColor="text1"/>
          <w:sz w:val="32"/>
        </w:rPr>
        <w:t>本实施意见具体解释工作由吉林省林业和草原局承担。</w:t>
      </w:r>
    </w:p>
    <w:sectPr w:rsidR="009F2D3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FE4" w:rsidRDefault="00E71FE4">
      <w:r>
        <w:separator/>
      </w:r>
    </w:p>
  </w:endnote>
  <w:endnote w:type="continuationSeparator" w:id="0">
    <w:p w:rsidR="00E71FE4" w:rsidRDefault="00E7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D3A" w:rsidRDefault="00D207E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2D3A" w:rsidRDefault="00D207E5">
                          <w:pPr>
                            <w:pStyle w:val="a7"/>
                          </w:pPr>
                          <w:r>
                            <w:fldChar w:fldCharType="begin"/>
                          </w:r>
                          <w:r>
                            <w:instrText xml:space="preserve"> PAGE  \* MERGEFORMAT </w:instrText>
                          </w:r>
                          <w:r>
                            <w:fldChar w:fldCharType="separate"/>
                          </w:r>
                          <w:r w:rsidR="00077A43">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F2D3A" w:rsidRDefault="00D207E5">
                    <w:pPr>
                      <w:pStyle w:val="a7"/>
                    </w:pPr>
                    <w:r>
                      <w:fldChar w:fldCharType="begin"/>
                    </w:r>
                    <w:r>
                      <w:instrText xml:space="preserve"> PAGE  \* MERGEFORMAT </w:instrText>
                    </w:r>
                    <w:r>
                      <w:fldChar w:fldCharType="separate"/>
                    </w:r>
                    <w:r w:rsidR="00077A43">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FE4" w:rsidRDefault="00E71FE4">
      <w:r>
        <w:separator/>
      </w:r>
    </w:p>
  </w:footnote>
  <w:footnote w:type="continuationSeparator" w:id="0">
    <w:p w:rsidR="00E71FE4" w:rsidRDefault="00E71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4MDgzYTBkY2M2OTk0M2UwYzg0NWVmNzcxY2UzNDEifQ=="/>
    <w:docVar w:name="KSO_WPS_MARK_KEY" w:val="9bf77ba5-f2b9-41c5-b9a5-d27a10179f47"/>
  </w:docVars>
  <w:rsids>
    <w:rsidRoot w:val="007205CE"/>
    <w:rsid w:val="000145F0"/>
    <w:rsid w:val="00017AE7"/>
    <w:rsid w:val="00032B0B"/>
    <w:rsid w:val="00046B2A"/>
    <w:rsid w:val="00054ABF"/>
    <w:rsid w:val="00064394"/>
    <w:rsid w:val="00072782"/>
    <w:rsid w:val="00077254"/>
    <w:rsid w:val="00077A43"/>
    <w:rsid w:val="00090994"/>
    <w:rsid w:val="000A016E"/>
    <w:rsid w:val="000B3209"/>
    <w:rsid w:val="000B382B"/>
    <w:rsid w:val="000B5B25"/>
    <w:rsid w:val="000C193C"/>
    <w:rsid w:val="000C2FB6"/>
    <w:rsid w:val="000D55B2"/>
    <w:rsid w:val="000E6BA5"/>
    <w:rsid w:val="000F7912"/>
    <w:rsid w:val="00101597"/>
    <w:rsid w:val="001034AA"/>
    <w:rsid w:val="0011046E"/>
    <w:rsid w:val="00113512"/>
    <w:rsid w:val="00116A9F"/>
    <w:rsid w:val="001247FB"/>
    <w:rsid w:val="001343B9"/>
    <w:rsid w:val="00150938"/>
    <w:rsid w:val="001561C1"/>
    <w:rsid w:val="00164761"/>
    <w:rsid w:val="00170837"/>
    <w:rsid w:val="00171FFC"/>
    <w:rsid w:val="00182184"/>
    <w:rsid w:val="001A75CD"/>
    <w:rsid w:val="001B1EFD"/>
    <w:rsid w:val="001B390E"/>
    <w:rsid w:val="001C1647"/>
    <w:rsid w:val="001C6C67"/>
    <w:rsid w:val="001D2A3D"/>
    <w:rsid w:val="001D2FA2"/>
    <w:rsid w:val="001D70DF"/>
    <w:rsid w:val="001F2E16"/>
    <w:rsid w:val="00204794"/>
    <w:rsid w:val="00222256"/>
    <w:rsid w:val="0023124F"/>
    <w:rsid w:val="002339B6"/>
    <w:rsid w:val="00234391"/>
    <w:rsid w:val="0024301A"/>
    <w:rsid w:val="002450E5"/>
    <w:rsid w:val="002523DD"/>
    <w:rsid w:val="00253C74"/>
    <w:rsid w:val="002546B8"/>
    <w:rsid w:val="002628FA"/>
    <w:rsid w:val="002701A1"/>
    <w:rsid w:val="002779D2"/>
    <w:rsid w:val="00286116"/>
    <w:rsid w:val="002A1374"/>
    <w:rsid w:val="002B40BA"/>
    <w:rsid w:val="002B7DC4"/>
    <w:rsid w:val="002C37D7"/>
    <w:rsid w:val="002F5DF4"/>
    <w:rsid w:val="00345FB3"/>
    <w:rsid w:val="00362957"/>
    <w:rsid w:val="00374072"/>
    <w:rsid w:val="00397361"/>
    <w:rsid w:val="003A5B6E"/>
    <w:rsid w:val="003B1FFE"/>
    <w:rsid w:val="003F4908"/>
    <w:rsid w:val="003F4AA7"/>
    <w:rsid w:val="003F783E"/>
    <w:rsid w:val="00400DEA"/>
    <w:rsid w:val="00420787"/>
    <w:rsid w:val="00431030"/>
    <w:rsid w:val="0043162D"/>
    <w:rsid w:val="00432288"/>
    <w:rsid w:val="0043629A"/>
    <w:rsid w:val="004417D3"/>
    <w:rsid w:val="00453D4F"/>
    <w:rsid w:val="004556CC"/>
    <w:rsid w:val="004639C1"/>
    <w:rsid w:val="004677E2"/>
    <w:rsid w:val="00467DAC"/>
    <w:rsid w:val="00471174"/>
    <w:rsid w:val="004918C3"/>
    <w:rsid w:val="004A1122"/>
    <w:rsid w:val="004A7DA8"/>
    <w:rsid w:val="004B1D7D"/>
    <w:rsid w:val="004C1DAC"/>
    <w:rsid w:val="004C35E3"/>
    <w:rsid w:val="004C4EE9"/>
    <w:rsid w:val="004D5D67"/>
    <w:rsid w:val="004F56C5"/>
    <w:rsid w:val="005152EE"/>
    <w:rsid w:val="00527079"/>
    <w:rsid w:val="005363BD"/>
    <w:rsid w:val="0053707D"/>
    <w:rsid w:val="00541CB6"/>
    <w:rsid w:val="00553C20"/>
    <w:rsid w:val="00555075"/>
    <w:rsid w:val="00580687"/>
    <w:rsid w:val="00581AE2"/>
    <w:rsid w:val="00591904"/>
    <w:rsid w:val="005A6019"/>
    <w:rsid w:val="005B5F0E"/>
    <w:rsid w:val="005D6154"/>
    <w:rsid w:val="005F10BD"/>
    <w:rsid w:val="005F266D"/>
    <w:rsid w:val="005F4428"/>
    <w:rsid w:val="005F75EF"/>
    <w:rsid w:val="00602989"/>
    <w:rsid w:val="00611713"/>
    <w:rsid w:val="0062639B"/>
    <w:rsid w:val="00630731"/>
    <w:rsid w:val="00644C5E"/>
    <w:rsid w:val="00656150"/>
    <w:rsid w:val="0065649B"/>
    <w:rsid w:val="006567FF"/>
    <w:rsid w:val="00687EBF"/>
    <w:rsid w:val="00691494"/>
    <w:rsid w:val="006940E5"/>
    <w:rsid w:val="0069758B"/>
    <w:rsid w:val="006A21EA"/>
    <w:rsid w:val="006D1506"/>
    <w:rsid w:val="006D3DA1"/>
    <w:rsid w:val="006D6362"/>
    <w:rsid w:val="00702ECE"/>
    <w:rsid w:val="00712CD9"/>
    <w:rsid w:val="00717D5E"/>
    <w:rsid w:val="007205CE"/>
    <w:rsid w:val="00727868"/>
    <w:rsid w:val="00732DAB"/>
    <w:rsid w:val="00733BE0"/>
    <w:rsid w:val="00762B0F"/>
    <w:rsid w:val="0076499D"/>
    <w:rsid w:val="0077068C"/>
    <w:rsid w:val="00776B14"/>
    <w:rsid w:val="0078532C"/>
    <w:rsid w:val="007A3080"/>
    <w:rsid w:val="007B7177"/>
    <w:rsid w:val="007D621A"/>
    <w:rsid w:val="007D68DD"/>
    <w:rsid w:val="007F4C70"/>
    <w:rsid w:val="0080355B"/>
    <w:rsid w:val="00810738"/>
    <w:rsid w:val="00810F7F"/>
    <w:rsid w:val="0081152E"/>
    <w:rsid w:val="008128D7"/>
    <w:rsid w:val="00816DFD"/>
    <w:rsid w:val="00825F9A"/>
    <w:rsid w:val="00832A98"/>
    <w:rsid w:val="008373BF"/>
    <w:rsid w:val="00843329"/>
    <w:rsid w:val="0084340D"/>
    <w:rsid w:val="00854B82"/>
    <w:rsid w:val="008858F6"/>
    <w:rsid w:val="00891F0B"/>
    <w:rsid w:val="00893EC9"/>
    <w:rsid w:val="008A689A"/>
    <w:rsid w:val="008B3AE5"/>
    <w:rsid w:val="008B5BD0"/>
    <w:rsid w:val="008C46AB"/>
    <w:rsid w:val="008C5B1C"/>
    <w:rsid w:val="008C5EEB"/>
    <w:rsid w:val="008D4DE6"/>
    <w:rsid w:val="008D7A86"/>
    <w:rsid w:val="008E0431"/>
    <w:rsid w:val="008E6997"/>
    <w:rsid w:val="00911990"/>
    <w:rsid w:val="0092152C"/>
    <w:rsid w:val="00922311"/>
    <w:rsid w:val="0092523E"/>
    <w:rsid w:val="00963720"/>
    <w:rsid w:val="009651D5"/>
    <w:rsid w:val="0097119B"/>
    <w:rsid w:val="0097234C"/>
    <w:rsid w:val="0097488C"/>
    <w:rsid w:val="00985F6E"/>
    <w:rsid w:val="009872B3"/>
    <w:rsid w:val="00994FF0"/>
    <w:rsid w:val="009A2E7C"/>
    <w:rsid w:val="009B1957"/>
    <w:rsid w:val="009B23B8"/>
    <w:rsid w:val="009C36C8"/>
    <w:rsid w:val="009D24C2"/>
    <w:rsid w:val="009D63BF"/>
    <w:rsid w:val="009F2D3A"/>
    <w:rsid w:val="009F68FC"/>
    <w:rsid w:val="00A022CE"/>
    <w:rsid w:val="00A14D2C"/>
    <w:rsid w:val="00A34B90"/>
    <w:rsid w:val="00A65390"/>
    <w:rsid w:val="00A659CF"/>
    <w:rsid w:val="00A75521"/>
    <w:rsid w:val="00A80657"/>
    <w:rsid w:val="00A80FB5"/>
    <w:rsid w:val="00A84510"/>
    <w:rsid w:val="00AB241E"/>
    <w:rsid w:val="00AD0A89"/>
    <w:rsid w:val="00AD6D74"/>
    <w:rsid w:val="00AF2408"/>
    <w:rsid w:val="00AF2D62"/>
    <w:rsid w:val="00B045A8"/>
    <w:rsid w:val="00B137BC"/>
    <w:rsid w:val="00B13842"/>
    <w:rsid w:val="00B4758A"/>
    <w:rsid w:val="00B57E6F"/>
    <w:rsid w:val="00B57FC2"/>
    <w:rsid w:val="00B734B1"/>
    <w:rsid w:val="00B83F6E"/>
    <w:rsid w:val="00B85B52"/>
    <w:rsid w:val="00B8626F"/>
    <w:rsid w:val="00B901E1"/>
    <w:rsid w:val="00B93F2F"/>
    <w:rsid w:val="00B96F88"/>
    <w:rsid w:val="00BC2915"/>
    <w:rsid w:val="00BC4754"/>
    <w:rsid w:val="00BC6550"/>
    <w:rsid w:val="00BE189E"/>
    <w:rsid w:val="00BE3965"/>
    <w:rsid w:val="00BE57BE"/>
    <w:rsid w:val="00C046F1"/>
    <w:rsid w:val="00C052F4"/>
    <w:rsid w:val="00C076E1"/>
    <w:rsid w:val="00C11CC4"/>
    <w:rsid w:val="00C22611"/>
    <w:rsid w:val="00C66983"/>
    <w:rsid w:val="00C66C87"/>
    <w:rsid w:val="00C80F94"/>
    <w:rsid w:val="00C8130C"/>
    <w:rsid w:val="00C84A02"/>
    <w:rsid w:val="00C940FC"/>
    <w:rsid w:val="00CA2748"/>
    <w:rsid w:val="00CA4D4D"/>
    <w:rsid w:val="00CA51E0"/>
    <w:rsid w:val="00CB26CC"/>
    <w:rsid w:val="00CB6DC7"/>
    <w:rsid w:val="00CC5056"/>
    <w:rsid w:val="00CE4FE0"/>
    <w:rsid w:val="00D114AC"/>
    <w:rsid w:val="00D207E5"/>
    <w:rsid w:val="00D2410D"/>
    <w:rsid w:val="00D25D72"/>
    <w:rsid w:val="00D30302"/>
    <w:rsid w:val="00D416F5"/>
    <w:rsid w:val="00D522AC"/>
    <w:rsid w:val="00D563C6"/>
    <w:rsid w:val="00D627E8"/>
    <w:rsid w:val="00D64751"/>
    <w:rsid w:val="00D71E88"/>
    <w:rsid w:val="00D73436"/>
    <w:rsid w:val="00D73FCC"/>
    <w:rsid w:val="00D75A4B"/>
    <w:rsid w:val="00D763A7"/>
    <w:rsid w:val="00DA4809"/>
    <w:rsid w:val="00DC2132"/>
    <w:rsid w:val="00DC5868"/>
    <w:rsid w:val="00DD0772"/>
    <w:rsid w:val="00DD3618"/>
    <w:rsid w:val="00DE5188"/>
    <w:rsid w:val="00DE57B8"/>
    <w:rsid w:val="00E078EF"/>
    <w:rsid w:val="00E11F43"/>
    <w:rsid w:val="00E134E0"/>
    <w:rsid w:val="00E17937"/>
    <w:rsid w:val="00E27115"/>
    <w:rsid w:val="00E43A83"/>
    <w:rsid w:val="00E71FE4"/>
    <w:rsid w:val="00E76DDE"/>
    <w:rsid w:val="00E85AB1"/>
    <w:rsid w:val="00EA1916"/>
    <w:rsid w:val="00EA40E6"/>
    <w:rsid w:val="00EA5776"/>
    <w:rsid w:val="00EA7FDF"/>
    <w:rsid w:val="00ED61AD"/>
    <w:rsid w:val="00EE07B5"/>
    <w:rsid w:val="00EF2F29"/>
    <w:rsid w:val="00F0534B"/>
    <w:rsid w:val="00F15173"/>
    <w:rsid w:val="00F175A9"/>
    <w:rsid w:val="00F17C36"/>
    <w:rsid w:val="00F30690"/>
    <w:rsid w:val="00F46663"/>
    <w:rsid w:val="00F615DF"/>
    <w:rsid w:val="00F632BF"/>
    <w:rsid w:val="00FA2717"/>
    <w:rsid w:val="00FA5CDB"/>
    <w:rsid w:val="00FA79C0"/>
    <w:rsid w:val="00FB3475"/>
    <w:rsid w:val="00FB4BBA"/>
    <w:rsid w:val="00FC7E8E"/>
    <w:rsid w:val="00FD16B3"/>
    <w:rsid w:val="00FD1D87"/>
    <w:rsid w:val="00FD4E89"/>
    <w:rsid w:val="00FE10F9"/>
    <w:rsid w:val="00FE7493"/>
    <w:rsid w:val="00FF13F6"/>
    <w:rsid w:val="01656961"/>
    <w:rsid w:val="022424C6"/>
    <w:rsid w:val="029E40BE"/>
    <w:rsid w:val="02F95980"/>
    <w:rsid w:val="03060589"/>
    <w:rsid w:val="03CD7E2C"/>
    <w:rsid w:val="04025BED"/>
    <w:rsid w:val="042F07BF"/>
    <w:rsid w:val="04D32457"/>
    <w:rsid w:val="05841AEC"/>
    <w:rsid w:val="05F13DE4"/>
    <w:rsid w:val="060317A8"/>
    <w:rsid w:val="06407BD7"/>
    <w:rsid w:val="06540256"/>
    <w:rsid w:val="06E04162"/>
    <w:rsid w:val="07CC3206"/>
    <w:rsid w:val="08167874"/>
    <w:rsid w:val="08EE4992"/>
    <w:rsid w:val="09175C96"/>
    <w:rsid w:val="092223CD"/>
    <w:rsid w:val="094530B5"/>
    <w:rsid w:val="09904D0B"/>
    <w:rsid w:val="09A37712"/>
    <w:rsid w:val="09AF6AF6"/>
    <w:rsid w:val="0ABE1E9D"/>
    <w:rsid w:val="0ACF1287"/>
    <w:rsid w:val="0B350656"/>
    <w:rsid w:val="0BF84E7D"/>
    <w:rsid w:val="0C5114BF"/>
    <w:rsid w:val="0C6E02C3"/>
    <w:rsid w:val="0CCB6C9E"/>
    <w:rsid w:val="0E920123"/>
    <w:rsid w:val="0EB67D00"/>
    <w:rsid w:val="0ED527DB"/>
    <w:rsid w:val="0EE06B2A"/>
    <w:rsid w:val="0EE54141"/>
    <w:rsid w:val="0F2F1860"/>
    <w:rsid w:val="0F4F5A5E"/>
    <w:rsid w:val="0F916077"/>
    <w:rsid w:val="0FBD0C1A"/>
    <w:rsid w:val="10175862"/>
    <w:rsid w:val="101B14D1"/>
    <w:rsid w:val="104135F9"/>
    <w:rsid w:val="1046581A"/>
    <w:rsid w:val="10A02A15"/>
    <w:rsid w:val="111A24EA"/>
    <w:rsid w:val="11A227BD"/>
    <w:rsid w:val="12CA40A1"/>
    <w:rsid w:val="12D853FA"/>
    <w:rsid w:val="13056794"/>
    <w:rsid w:val="133B1D6B"/>
    <w:rsid w:val="13983E78"/>
    <w:rsid w:val="13B1228C"/>
    <w:rsid w:val="13CB5FFB"/>
    <w:rsid w:val="14172FEE"/>
    <w:rsid w:val="15CE3B81"/>
    <w:rsid w:val="15E15B23"/>
    <w:rsid w:val="15E45152"/>
    <w:rsid w:val="160348E3"/>
    <w:rsid w:val="166B341C"/>
    <w:rsid w:val="169C7D1E"/>
    <w:rsid w:val="17237EFC"/>
    <w:rsid w:val="17851DED"/>
    <w:rsid w:val="17D23E1B"/>
    <w:rsid w:val="184B7452"/>
    <w:rsid w:val="18574301"/>
    <w:rsid w:val="18DD2E6F"/>
    <w:rsid w:val="18EA1A9E"/>
    <w:rsid w:val="19031D93"/>
    <w:rsid w:val="194E1A7E"/>
    <w:rsid w:val="199C5D44"/>
    <w:rsid w:val="19A41156"/>
    <w:rsid w:val="19AD3DD7"/>
    <w:rsid w:val="19D71BE9"/>
    <w:rsid w:val="19EC69F5"/>
    <w:rsid w:val="1C0F349D"/>
    <w:rsid w:val="1E1C7D29"/>
    <w:rsid w:val="1E426EBA"/>
    <w:rsid w:val="1E6257AE"/>
    <w:rsid w:val="1E652BA8"/>
    <w:rsid w:val="1EB12291"/>
    <w:rsid w:val="1EC07FD3"/>
    <w:rsid w:val="1F1545CE"/>
    <w:rsid w:val="1FB933A0"/>
    <w:rsid w:val="2094622D"/>
    <w:rsid w:val="20CE713D"/>
    <w:rsid w:val="20D9162C"/>
    <w:rsid w:val="215D57C1"/>
    <w:rsid w:val="229149AF"/>
    <w:rsid w:val="22FF6A77"/>
    <w:rsid w:val="23244261"/>
    <w:rsid w:val="23A75A11"/>
    <w:rsid w:val="24373239"/>
    <w:rsid w:val="24561911"/>
    <w:rsid w:val="24B16B47"/>
    <w:rsid w:val="24B77DAF"/>
    <w:rsid w:val="24EF24B0"/>
    <w:rsid w:val="25AC4C6B"/>
    <w:rsid w:val="25AD2A3F"/>
    <w:rsid w:val="25DA20CE"/>
    <w:rsid w:val="269A5704"/>
    <w:rsid w:val="26A16B0F"/>
    <w:rsid w:val="26A4490F"/>
    <w:rsid w:val="278A3680"/>
    <w:rsid w:val="278F4FD2"/>
    <w:rsid w:val="27900371"/>
    <w:rsid w:val="27A508CB"/>
    <w:rsid w:val="27C272BD"/>
    <w:rsid w:val="2879797C"/>
    <w:rsid w:val="28D008D6"/>
    <w:rsid w:val="296E3259"/>
    <w:rsid w:val="298C31D0"/>
    <w:rsid w:val="2A397ADB"/>
    <w:rsid w:val="2A3B412F"/>
    <w:rsid w:val="2A9655BB"/>
    <w:rsid w:val="2ABF713D"/>
    <w:rsid w:val="2AC64837"/>
    <w:rsid w:val="2ACA0FE3"/>
    <w:rsid w:val="2B0306AE"/>
    <w:rsid w:val="2B3E1F6D"/>
    <w:rsid w:val="2B892FE7"/>
    <w:rsid w:val="2BAC62BA"/>
    <w:rsid w:val="2BD05AC7"/>
    <w:rsid w:val="2BE801FA"/>
    <w:rsid w:val="2C0A352A"/>
    <w:rsid w:val="2C471B3F"/>
    <w:rsid w:val="2C630D27"/>
    <w:rsid w:val="2CEC21C1"/>
    <w:rsid w:val="2E293BF2"/>
    <w:rsid w:val="2E8F1B5A"/>
    <w:rsid w:val="2ED451BE"/>
    <w:rsid w:val="2EF10645"/>
    <w:rsid w:val="2F0032BE"/>
    <w:rsid w:val="2F155DA1"/>
    <w:rsid w:val="2F3B1E2F"/>
    <w:rsid w:val="2FCB70F6"/>
    <w:rsid w:val="30232B85"/>
    <w:rsid w:val="303D56E5"/>
    <w:rsid w:val="30894E1C"/>
    <w:rsid w:val="31961095"/>
    <w:rsid w:val="31DC1A51"/>
    <w:rsid w:val="31FB58A6"/>
    <w:rsid w:val="323808A8"/>
    <w:rsid w:val="326351F9"/>
    <w:rsid w:val="32717916"/>
    <w:rsid w:val="32E34E92"/>
    <w:rsid w:val="3308733C"/>
    <w:rsid w:val="335E433E"/>
    <w:rsid w:val="336E3E55"/>
    <w:rsid w:val="3370525A"/>
    <w:rsid w:val="337E678E"/>
    <w:rsid w:val="33CF2B46"/>
    <w:rsid w:val="33E660E2"/>
    <w:rsid w:val="34237336"/>
    <w:rsid w:val="34873FEE"/>
    <w:rsid w:val="350C356E"/>
    <w:rsid w:val="35246EC1"/>
    <w:rsid w:val="36080591"/>
    <w:rsid w:val="3619454C"/>
    <w:rsid w:val="361D6C55"/>
    <w:rsid w:val="364F3BB1"/>
    <w:rsid w:val="36AE539C"/>
    <w:rsid w:val="36E27034"/>
    <w:rsid w:val="36F31328"/>
    <w:rsid w:val="37FB0B2E"/>
    <w:rsid w:val="381551E7"/>
    <w:rsid w:val="38993E01"/>
    <w:rsid w:val="38B90269"/>
    <w:rsid w:val="393D49F6"/>
    <w:rsid w:val="39B12F93"/>
    <w:rsid w:val="39D76559"/>
    <w:rsid w:val="3A06303A"/>
    <w:rsid w:val="3A6164C2"/>
    <w:rsid w:val="3A8538B6"/>
    <w:rsid w:val="3AAA221F"/>
    <w:rsid w:val="3AAF21D9"/>
    <w:rsid w:val="3B4007CD"/>
    <w:rsid w:val="3BF375EE"/>
    <w:rsid w:val="3BFC41D0"/>
    <w:rsid w:val="3C4C31E8"/>
    <w:rsid w:val="3C4F278C"/>
    <w:rsid w:val="3C5D71FE"/>
    <w:rsid w:val="3C851E19"/>
    <w:rsid w:val="3CA01523"/>
    <w:rsid w:val="3CD1278F"/>
    <w:rsid w:val="3CE358B4"/>
    <w:rsid w:val="3CE55188"/>
    <w:rsid w:val="3D1A1762"/>
    <w:rsid w:val="3DA0198B"/>
    <w:rsid w:val="3DA04F90"/>
    <w:rsid w:val="3DA31962"/>
    <w:rsid w:val="3DA46DF1"/>
    <w:rsid w:val="3E7C38CA"/>
    <w:rsid w:val="3EAF1EF2"/>
    <w:rsid w:val="3EC3622C"/>
    <w:rsid w:val="3F43088C"/>
    <w:rsid w:val="3FC400FB"/>
    <w:rsid w:val="3FE4169F"/>
    <w:rsid w:val="40BA4B7E"/>
    <w:rsid w:val="40F942DC"/>
    <w:rsid w:val="414B502E"/>
    <w:rsid w:val="41543983"/>
    <w:rsid w:val="41C77A51"/>
    <w:rsid w:val="433230F1"/>
    <w:rsid w:val="43AD7F26"/>
    <w:rsid w:val="441A5B3C"/>
    <w:rsid w:val="45B318F7"/>
    <w:rsid w:val="45CD71A7"/>
    <w:rsid w:val="45DC2F87"/>
    <w:rsid w:val="45DE30BD"/>
    <w:rsid w:val="460333ED"/>
    <w:rsid w:val="461239E2"/>
    <w:rsid w:val="46992BEC"/>
    <w:rsid w:val="46A328A2"/>
    <w:rsid w:val="475C698F"/>
    <w:rsid w:val="477F2F80"/>
    <w:rsid w:val="47940A26"/>
    <w:rsid w:val="47CB3B18"/>
    <w:rsid w:val="48E50BD4"/>
    <w:rsid w:val="48F549A5"/>
    <w:rsid w:val="491C378E"/>
    <w:rsid w:val="49724248"/>
    <w:rsid w:val="4992120F"/>
    <w:rsid w:val="4996424D"/>
    <w:rsid w:val="4A0B3AD6"/>
    <w:rsid w:val="4AC705C3"/>
    <w:rsid w:val="4AEC6E1E"/>
    <w:rsid w:val="4B1036D7"/>
    <w:rsid w:val="4B4E4840"/>
    <w:rsid w:val="4C017B05"/>
    <w:rsid w:val="4C2325B1"/>
    <w:rsid w:val="4C285FF8"/>
    <w:rsid w:val="4C746529"/>
    <w:rsid w:val="4CBA2254"/>
    <w:rsid w:val="4CE315BE"/>
    <w:rsid w:val="4CE90CC5"/>
    <w:rsid w:val="4D862070"/>
    <w:rsid w:val="4DB56DF9"/>
    <w:rsid w:val="4DEE063D"/>
    <w:rsid w:val="4E33177B"/>
    <w:rsid w:val="4E6B450E"/>
    <w:rsid w:val="4F7C5E20"/>
    <w:rsid w:val="4F820F5D"/>
    <w:rsid w:val="4F9273F2"/>
    <w:rsid w:val="4F98486D"/>
    <w:rsid w:val="4FE71437"/>
    <w:rsid w:val="501E0C85"/>
    <w:rsid w:val="505521CD"/>
    <w:rsid w:val="50FC28B4"/>
    <w:rsid w:val="513E4D75"/>
    <w:rsid w:val="53166B5D"/>
    <w:rsid w:val="53E41F96"/>
    <w:rsid w:val="54063F0A"/>
    <w:rsid w:val="543842E0"/>
    <w:rsid w:val="54C94F38"/>
    <w:rsid w:val="558F3EB5"/>
    <w:rsid w:val="55DA5A38"/>
    <w:rsid w:val="561A1EEF"/>
    <w:rsid w:val="562047F1"/>
    <w:rsid w:val="56312D95"/>
    <w:rsid w:val="569927ED"/>
    <w:rsid w:val="570A3D11"/>
    <w:rsid w:val="570C7AE2"/>
    <w:rsid w:val="57623B4D"/>
    <w:rsid w:val="57BB44B2"/>
    <w:rsid w:val="57DA5D9C"/>
    <w:rsid w:val="57EA58F1"/>
    <w:rsid w:val="581E6274"/>
    <w:rsid w:val="59215342"/>
    <w:rsid w:val="59227859"/>
    <w:rsid w:val="59735F6B"/>
    <w:rsid w:val="59835FFD"/>
    <w:rsid w:val="59F6057D"/>
    <w:rsid w:val="5AC34EAE"/>
    <w:rsid w:val="5B1647AE"/>
    <w:rsid w:val="5BD7030E"/>
    <w:rsid w:val="5D137698"/>
    <w:rsid w:val="5DCA5337"/>
    <w:rsid w:val="5E33789B"/>
    <w:rsid w:val="5E6C4064"/>
    <w:rsid w:val="5F5C43D5"/>
    <w:rsid w:val="608650DB"/>
    <w:rsid w:val="60D80003"/>
    <w:rsid w:val="61502C69"/>
    <w:rsid w:val="61EB693B"/>
    <w:rsid w:val="61FC04BD"/>
    <w:rsid w:val="624D5459"/>
    <w:rsid w:val="627C19AE"/>
    <w:rsid w:val="643861C1"/>
    <w:rsid w:val="6468005E"/>
    <w:rsid w:val="650A312E"/>
    <w:rsid w:val="652506C7"/>
    <w:rsid w:val="653B59DE"/>
    <w:rsid w:val="661C1182"/>
    <w:rsid w:val="66B46F25"/>
    <w:rsid w:val="66C13CC1"/>
    <w:rsid w:val="670342D9"/>
    <w:rsid w:val="67670D0C"/>
    <w:rsid w:val="676E209B"/>
    <w:rsid w:val="67B11F87"/>
    <w:rsid w:val="68974396"/>
    <w:rsid w:val="68975621"/>
    <w:rsid w:val="69850650"/>
    <w:rsid w:val="698C2A87"/>
    <w:rsid w:val="69950189"/>
    <w:rsid w:val="69DE797D"/>
    <w:rsid w:val="69F10883"/>
    <w:rsid w:val="69F4798A"/>
    <w:rsid w:val="69FB74B7"/>
    <w:rsid w:val="6A286CF1"/>
    <w:rsid w:val="6A435850"/>
    <w:rsid w:val="6A722384"/>
    <w:rsid w:val="6AE740B8"/>
    <w:rsid w:val="6B4E0AC4"/>
    <w:rsid w:val="6B8F69CA"/>
    <w:rsid w:val="6BF8314C"/>
    <w:rsid w:val="6C2C42D2"/>
    <w:rsid w:val="6C3E4E79"/>
    <w:rsid w:val="6C507FC1"/>
    <w:rsid w:val="6C71623E"/>
    <w:rsid w:val="6CAA6B3C"/>
    <w:rsid w:val="6CB26586"/>
    <w:rsid w:val="6CC62031"/>
    <w:rsid w:val="6D360A02"/>
    <w:rsid w:val="6D493A9E"/>
    <w:rsid w:val="6D5434E0"/>
    <w:rsid w:val="6DB66549"/>
    <w:rsid w:val="6DC9627D"/>
    <w:rsid w:val="6E5D4339"/>
    <w:rsid w:val="6ED722D3"/>
    <w:rsid w:val="6F4436E1"/>
    <w:rsid w:val="6F885CC3"/>
    <w:rsid w:val="6FDC62BB"/>
    <w:rsid w:val="707F45F0"/>
    <w:rsid w:val="70F80C27"/>
    <w:rsid w:val="71125845"/>
    <w:rsid w:val="71304887"/>
    <w:rsid w:val="7150636D"/>
    <w:rsid w:val="72042D99"/>
    <w:rsid w:val="72323CC5"/>
    <w:rsid w:val="72B3590D"/>
    <w:rsid w:val="733A06B3"/>
    <w:rsid w:val="735008A6"/>
    <w:rsid w:val="736B65A6"/>
    <w:rsid w:val="746C5BB4"/>
    <w:rsid w:val="74A717A6"/>
    <w:rsid w:val="74C855FD"/>
    <w:rsid w:val="75BE41ED"/>
    <w:rsid w:val="75FB0F9D"/>
    <w:rsid w:val="7639407C"/>
    <w:rsid w:val="768225E5"/>
    <w:rsid w:val="768E6006"/>
    <w:rsid w:val="769F213E"/>
    <w:rsid w:val="76A33AA3"/>
    <w:rsid w:val="770220DD"/>
    <w:rsid w:val="7731383A"/>
    <w:rsid w:val="77654733"/>
    <w:rsid w:val="77AE0291"/>
    <w:rsid w:val="77F02658"/>
    <w:rsid w:val="781225CE"/>
    <w:rsid w:val="78C707A1"/>
    <w:rsid w:val="78F13CA4"/>
    <w:rsid w:val="793814F6"/>
    <w:rsid w:val="7A245C80"/>
    <w:rsid w:val="7A326175"/>
    <w:rsid w:val="7A6B4218"/>
    <w:rsid w:val="7B2B018F"/>
    <w:rsid w:val="7B8657AD"/>
    <w:rsid w:val="7BAB17D7"/>
    <w:rsid w:val="7C2D1BDE"/>
    <w:rsid w:val="7D145E73"/>
    <w:rsid w:val="7D217C5A"/>
    <w:rsid w:val="7D405C73"/>
    <w:rsid w:val="7DFA1E25"/>
    <w:rsid w:val="7E067B07"/>
    <w:rsid w:val="7E7062A0"/>
    <w:rsid w:val="7E867872"/>
    <w:rsid w:val="7EBA5BD7"/>
    <w:rsid w:val="7EBE0DBA"/>
    <w:rsid w:val="7F121106"/>
    <w:rsid w:val="7F201A75"/>
    <w:rsid w:val="7F6C2F0C"/>
    <w:rsid w:val="7F86528D"/>
    <w:rsid w:val="7F883D2C"/>
    <w:rsid w:val="7FDE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044E55-AFC8-41B9-97AA-FCC3D00C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12"/>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
    <w:name w:val="样式 正文11 + 首行缩进:  2 字符"/>
    <w:basedOn w:val="a"/>
    <w:qFormat/>
    <w:pPr>
      <w:ind w:firstLine="560"/>
    </w:pPr>
    <w:rPr>
      <w:rFonts w:ascii="宋体" w:hAnsi="宋体" w:cs="宋体"/>
      <w:b/>
      <w:color w:val="FF0000"/>
    </w:rPr>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pPr>
      <w:spacing w:beforeAutospacing="1" w:afterAutospacing="1"/>
      <w:jc w:val="left"/>
    </w:pPr>
    <w:rPr>
      <w:kern w:val="0"/>
      <w:sz w:val="24"/>
    </w:rPr>
  </w:style>
  <w:style w:type="paragraph" w:styleId="aa">
    <w:name w:val="annotation subject"/>
    <w:basedOn w:val="a3"/>
    <w:next w:val="a3"/>
    <w:link w:val="ab"/>
    <w:qFormat/>
    <w:rPr>
      <w:b/>
      <w:bCs/>
    </w:rPr>
  </w:style>
  <w:style w:type="character" w:styleId="ac">
    <w:name w:val="Strong"/>
    <w:basedOn w:val="a0"/>
    <w:uiPriority w:val="22"/>
    <w:qFormat/>
    <w:rPr>
      <w:b/>
    </w:rPr>
  </w:style>
  <w:style w:type="character" w:styleId="ad">
    <w:name w:val="Emphasis"/>
    <w:basedOn w:val="a0"/>
    <w:qFormat/>
    <w:rPr>
      <w:i/>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character" w:customStyle="1" w:styleId="bar">
    <w:name w:val="bar"/>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on">
    <w:name w:val="on"/>
    <w:basedOn w:val="a0"/>
    <w:qFormat/>
    <w:rPr>
      <w:color w:val="C40001"/>
    </w:rPr>
  </w:style>
  <w:style w:type="character" w:customStyle="1" w:styleId="a6">
    <w:name w:val="批注框文本 字符"/>
    <w:basedOn w:val="a0"/>
    <w:link w:val="a5"/>
    <w:qFormat/>
    <w:rPr>
      <w:rFonts w:ascii="Calibri" w:hAnsi="Calibri"/>
      <w:kern w:val="2"/>
      <w:sz w:val="18"/>
      <w:szCs w:val="18"/>
    </w:rPr>
  </w:style>
  <w:style w:type="character" w:customStyle="1" w:styleId="a4">
    <w:name w:val="批注文字 字符"/>
    <w:basedOn w:val="a0"/>
    <w:link w:val="a3"/>
    <w:qFormat/>
    <w:rPr>
      <w:rFonts w:ascii="Calibri" w:hAnsi="Calibri"/>
      <w:kern w:val="2"/>
      <w:sz w:val="21"/>
      <w:szCs w:val="24"/>
    </w:rPr>
  </w:style>
  <w:style w:type="character" w:customStyle="1" w:styleId="ab">
    <w:name w:val="批注主题 字符"/>
    <w:basedOn w:val="a4"/>
    <w:link w:val="aa"/>
    <w:qFormat/>
    <w:rPr>
      <w:rFonts w:ascii="Calibri" w:hAnsi="Calibri"/>
      <w:b/>
      <w:bCs/>
      <w:kern w:val="2"/>
      <w:sz w:val="21"/>
      <w:szCs w:val="24"/>
    </w:rPr>
  </w:style>
  <w:style w:type="paragraph" w:customStyle="1" w:styleId="10">
    <w:name w:val="修订1"/>
    <w:hidden/>
    <w:uiPriority w:val="99"/>
    <w:semiHidden/>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47DC6-F3CE-41F7-914E-F0EEC016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761</Words>
  <Characters>4342</Characters>
  <Application>Microsoft Office Word</Application>
  <DocSecurity>0</DocSecurity>
  <Lines>36</Lines>
  <Paragraphs>10</Paragraphs>
  <ScaleCrop>false</ScaleCrop>
  <Company>MS</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cp:lastModifiedBy>
  <cp:revision>33</cp:revision>
  <cp:lastPrinted>2023-10-17T02:15:00Z</cp:lastPrinted>
  <dcterms:created xsi:type="dcterms:W3CDTF">2023-10-13T06:36:00Z</dcterms:created>
  <dcterms:modified xsi:type="dcterms:W3CDTF">2023-10-26T01:21:00Z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87BD23750A0341E397B25CD2D944FEB4_13</vt:lpwstr>
  </property>
</Properties>
</file>