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中华人民共和国防沙治沙法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rPr>
        <w:t>（2001年8月31日第九届全国人民代表大会常务委员会第二十三次会议通过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第二章　防沙治沙规划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第三章　土地沙化的预防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第四章　沙化土地的治理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第五章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仿宋_GB2312"/>
          <w:kern w:val="0"/>
          <w:szCs w:val="32"/>
        </w:rPr>
      </w:pPr>
      <w:r>
        <w:rPr>
          <w:rFonts w:hint="eastAsia" w:ascii="Times New Roman" w:hAnsi="Times New Roman" w:eastAsia="楷体_GB2312" w:cs="仿宋_GB2312"/>
          <w:kern w:val="0"/>
          <w:szCs w:val="32"/>
          <w:lang w:eastAsia="zh-CN"/>
        </w:rPr>
        <w:t>　　</w:t>
      </w:r>
      <w:r>
        <w:rPr>
          <w:rFonts w:hint="eastAsia" w:ascii="Times New Roman" w:hAnsi="Times New Roman" w:eastAsia="楷体_GB2312" w:cs="仿宋_GB2312"/>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为预防土地沙化，治理沙化土地，维护生态安全，促进经济和社会的可持续发展，制定本法。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在中华人民共和国境内，从事土地沙化的预防、沙化土地的治理和开发利用活动，必须遵守本法。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土地沙化是指因气候变化和人类活动所导致的天然沙漠扩张和沙质土壤上植被破坏、沙土裸露的过程。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本法所称土地沙化，是指主要因人类不合理活动所导致的天然沙漠扩张和沙质土壤上植被及覆盖物被破坏，形成流沙及沙土裸露的过程。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本法所称沙化土地，包括已经沙化的土地和具有明显沙化趋势的土地。具体范围，由国务院批准的全国防沙治沙规划确定。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防沙治沙工作应当遵循以下原则：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（一）统一规划，因地制宜，分步实施，坚持区域防治与重点防治相结合；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（二）预防为主，防治结合，综合治理；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（三）保护和恢复植被与合理利用自然资源相结合；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（四）遵循生态规律，依靠科技进步；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（五）改善生态环境与帮助农牧民脱贫致富相结合；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（六）国家支持与地方自力更生相结合，政府组织与社会各界参与相结合，鼓励单位、个人承包防治；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（七）保障防沙治沙者的合法权益。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国务院和沙化土地所在地区的县级以上地方人民政府，应当将防沙治沙纳入国民经济和社会发展计划，保障和支持防沙治沙工作的开展。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沙化土地所在地区的地方各级人民政府，应当采取有效措施，预防土地沙化，治理沙化土地，保护和改善本行政区域的生态质量。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国家在沙化土地所在地区，建立政府行政领导防沙治沙任期目标责任考核奖惩制度。沙化土地所在地区的县级以上地方人民政府，应当向同级人民代表大会及其常务委员会报告防沙治沙工作情况。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在国务院领导下，国务院林业草原行政主管部门负责组织、协调、指导全国防沙治沙工作。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国务院林业草原、农业、水利、土地、生态环境等行政主管部门和气象主管机构，按照有关法律规定的职责和国务院确定的职责分工，各负其责，密切配合，共同做好防沙治沙工作。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县级以上地方人民政府组织、领导所属有关部门，按照职责分工，各负其责，密切配合，共同做好本行政区域的防沙治沙工作。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使用土地的单位和个人，有防止该土地沙化的义务。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使用已经沙化的土地的单位和个人，有治理该沙化土地的义务。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国家支持防沙治沙的科学研究和技术推广工作，发挥科研部门、机构在防沙治沙工作中的作用，培养防沙治沙专门技术人员，提高防沙治沙的科学技术水平。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国家支持开展防沙治沙的国际合作。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在防沙治沙工作中作出显著成绩的单位和个人，由人民政府给予表彰和奖励；对保护和改善生态质量作出突出贡献的应当给予重奖。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沙化土地所在地区的各级人民政府应当组织有关部门开展防沙治沙知识的宣传教育，增强公民的防沙治沙意识，提高公民防沙治沙的能力。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防沙治沙规划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防沙治沙实行统一规划。从事防沙治沙活动，以及在沙化土地范围内从事开发利用活动，必须遵循防沙治沙规划。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防沙治沙规划应当对遏制土地沙化扩展趋势，逐步减少沙化土地的时限、步骤、措施等作出明确规定，并将具体实施方案纳入国民经济和社会发展五年计划和年度计划。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国务院林业草原行政主管部门会同国务院农业、水利、土地、生态环境等有关部门编制全国防沙治沙规划，报国务院批准后实施。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省、自治区、直辖市人民政府依据全国防沙治沙规划，编制本行政区域的防沙治沙规划，报国务院或者国务院指定的有关部门批准后实施。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沙化土地所在地区的市、县人民政府，应当依据上一级人民政府的防沙治沙规划，组织编制本行政区域的防沙治沙规划，报上一级人民政府批准后实施。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防沙治沙规划的修改，须经原批准机关批准；未经批准，任何单位和个人不得改变防沙治沙规划。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编制防沙治沙规划，应当根据沙化土地所处的地理位置、土地类型、植被状况、气候和水资源状况、土地沙化程度等自然条件及其所发挥的生态、经济功能，对沙化土地实行分类保护、综合治理和合理利用。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防沙治沙规划应当与土地利用总体规划相衔接；防沙治沙规划中确定的沙化土地用途，应当符合本级人民政府的土地利用总体规划。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土地沙化的预防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国务院林业草原行政主管部门组织其他有关行政主管部门对全国土地沙化情况进行监测、统计和分析，并定期公布监测结果。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县级以上地方人民政府林业草原或者其他有关行政主管部门，应当按照土地沙化监测技术规程，对沙化土地进行监测，并将监测结果向本级人民政府及上一级林业草原或者其他有关行政主管部门报告。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除了抚育更新性质的采伐外，不得批准对防风固沙林网、林带进行采伐。在对防风固沙林网、林带进行抚育更新性质的采伐之前，必须在其附近预先形成接替林网和林带。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对林木更新困难地区已有的防风固沙林网、林带，不得批准采伐。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禁止在沙化土地上砍挖灌木、药材及其他固沙植物。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沙化土地所在地区的县级人民政府，应当制定植被管护制度，严格保护植被，并根据需要在乡（镇）、村建立植被管护组织，确定管护人员。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在沙化土地范围内，各类土地承包合同应当包括植被保护责任的内容。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草原实行以产草量确定载畜量的制度。由林业草原行政主管部门会同畜牧业行政主管部门负责制定载畜量的标准和有关规定，并逐级组织实施，明确责任，确保完成。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沙化土地所在地区的地方各级人民政府应当节约用水，发展节水型农牧业和其他产业。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沙化土地所在地区的县级以上地方人民政府，不得批准在沙漠边缘地带和林地、草原开垦耕地；已经开垦并对生态产生不良影响的，应当有计划地组织退耕还林还草。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在沙化土地范围内从事开发建设活动的，必须事先就该项目可能对当地及相关地区生态产生的影响进行环境影响评价，依法提交环境影响报告；环境影响报告应当包括有关防沙治沙的内容。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在沙化土地封禁保护区范围内，禁止一切破坏植被的活动。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未经国务院或者国务院指定的部门同意，不得在沙化土地封禁保护区范围内进行修建铁路、公路等建设活动。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沙化土地的治理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国家鼓励单位和个人在自愿的前提下，捐资或者以其他形式开展公益性的治沙活动。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县级以上地方人民政府林业草原或者其他有关行政主管部门，应当为公益性治沙活动提供治理地点和无偿技术指导。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从事公益性治沙的单位和个人，应当按照县级以上地方人民政府林业草原或者其他有关行政主管部门的技术要求进行治理，并可以将所种植的林、草委托他人管护或者交由当地人民政府有关行政主管部门管护。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沙化土地所在地区的地方各级人民政府及其有关行政主管部门、技术推广单位，应当为土地使用权人和承包经营权人的治沙活动提供技术指导。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采取退耕还林还草、植树种草或者封育措施治沙的土地使用权人和承包经营权人，按照国家有关规定，享受人民政府提供的政策优惠。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不具有土地所有权或者使用权的单位和个人从事营利性治沙活动的，应当先与土地所有权人或者使用权人签订协议，依法取得土地使用权。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（一）被治理土地权属的合法证明文件和治理协议；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（二）符合防沙治沙规划的治理方案；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（三）治理所需的资金证明。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本法</w:t>
      </w:r>
      <w:r>
        <w:rPr>
          <w:rFonts w:hint="eastAsia" w:ascii="仿宋_GB2312" w:hAnsi="仿宋_GB2312" w:eastAsia="仿宋_GB2312" w:cs="仿宋_GB2312"/>
          <w:kern w:val="0"/>
          <w:szCs w:val="32"/>
        </w:rPr>
        <w:t>第二十六条第二款第二项所称治理方案，应当包括以下内容：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（一）治理范围界限；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（二）分阶段治理目标和治理期限；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（三）主要治理措施；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（四）经当地水行政主管部门同意的用水来源和用水量指标；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（五）治理后的土地用途和植被管护措施；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（六）其他需要载明的事项。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从事营利性治沙活动的单位和个人，必须按照治理方案进行治理。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国家保护沙化土地治理者的合法权益。在治理者取得合法土地权属的治理范围内，未经治理者同意，其他任何单位和个人不得从事治理或者开发利用活动。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已经沙化的土地范围内的铁路、公路、河流和水渠两侧，城镇、村庄、厂矿和水库周围，实行单位治理责任制，由县级以上地方人民政府下达治理责任书，由责任单位负责组织造林种草或者采取其他治理措施。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国务院和省、自治区、直辖市人民政府应当制定优惠政策，鼓励和支持单位和个人防沙治沙。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县级以上地方人民政府应当按照国家有关规定，根据防沙治沙的面积和难易程度，给予从事防沙治沙活动的单位和个人资金补助、财政贴息以及税费减免等政策优惠。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单位和个人投资进行防沙治沙的，在投资阶段免征各种税收；取得一定收益后，可以免征或者减征有关税收。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使用已经沙化的国有土地从事治沙活动的，经县级以上人民政府依法批准，可以享有不超过七十年的土地使用权。具体年限和管理办法，由国务院规定。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因保护生态的特殊要求，将治理后的土地批准划为自然保护区或者沙化土地封禁保护区的，批准机关应当给予治理者合理的经济补偿。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任何单位和个人不得截留、挪用防沙治沙资金。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县级以上人民政府审计机关，应当依法对防沙治沙资金使用情况实施审计监督。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w:t>
      </w:r>
      <w:r>
        <w:rPr>
          <w:rFonts w:hint="eastAsia" w:ascii="仿宋_GB2312" w:hAnsi="仿宋_GB2312" w:eastAsia="仿宋_GB2312" w:cs="仿宋_GB2312"/>
          <w:kern w:val="0"/>
          <w:szCs w:val="32"/>
        </w:rPr>
        <w:t>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w:t>
      </w:r>
      <w:r>
        <w:rPr>
          <w:rFonts w:hint="eastAsia" w:ascii="仿宋_GB2312" w:hAnsi="仿宋_GB2312" w:eastAsia="仿宋_GB2312" w:cs="仿宋_GB2312"/>
          <w:kern w:val="0"/>
          <w:szCs w:val="32"/>
        </w:rPr>
        <w:t>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违反本法规定，进行营利性治沙活动，造成土地沙化加重的，由县级以上地方人民政府负责受理营利性治沙申请的行政主管部门责令停止违法行为，可以并处每公顷五千元以上五万元以下的罚款。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w:t>
      </w:r>
      <w:r>
        <w:rPr>
          <w:rFonts w:hint="eastAsia" w:ascii="仿宋_GB2312" w:hAnsi="仿宋_GB2312" w:eastAsia="仿宋_GB2312" w:cs="仿宋_GB2312"/>
          <w:kern w:val="0"/>
          <w:szCs w:val="32"/>
        </w:rPr>
        <w:t>违反本法第二十八条第一款规定，不按照治理方案进行治理的，或者违反本法第二十九条规定，经验收不合格又不按要求继续治</w:t>
      </w:r>
      <w:r>
        <w:rPr>
          <w:rFonts w:hint="eastAsia" w:ascii="Times New Roman" w:hAnsi="Times New Roman" w:eastAsia="仿宋_GB2312" w:cs="仿宋_GB2312"/>
          <w:kern w:val="0"/>
          <w:szCs w:val="32"/>
        </w:rPr>
        <w:t>理的，由县级以上地方人民政府负责受理营利性治沙申请的行政主管部门责令停止违法行为，限期改正，可以并处相当于治理费用一倍以上三倍以下的罚款。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第四十二条</w:t>
      </w:r>
      <w:r>
        <w:rPr>
          <w:rFonts w:hint="eastAsia" w:ascii="仿宋_GB2312" w:hAnsi="仿宋_GB2312" w:eastAsia="仿宋_GB2312" w:cs="仿宋_GB2312"/>
          <w:kern w:val="0"/>
          <w:szCs w:val="32"/>
        </w:rPr>
        <w:t>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违反本法规定，有下列情形之一的，对直接负责的主管人员和其他直接责任人员，由所在单位、监察机关或者上级行政主管部门依法给予行政处分：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w:t>
      </w:r>
      <w:r>
        <w:rPr>
          <w:rFonts w:hint="eastAsia" w:ascii="仿宋_GB2312" w:hAnsi="仿宋_GB2312" w:eastAsia="仿宋_GB2312" w:cs="仿宋_GB2312"/>
          <w:kern w:val="0"/>
          <w:szCs w:val="32"/>
        </w:rPr>
        <w:t>违反本法第十五条第一款规定，发现土地发生沙化或者沙化程度加重不及时报告的，或者收到报告后不责成有关行政主管部门采取措施的；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（二）违反本法第十六条第二款、第三款规定，批准采伐防风固沙林网、林带的；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（三）违反本法第二十条规定，批准在沙漠边缘地带和林地、草原开垦耕地的；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（四）违反本法第二十二条第二款规定，在沙化土地封禁保护区范围内安置移民的；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（五）违反本法第二十二条第三款规定，未经批准在沙化土地封禁保护区范围内进行修建铁路、公路等建设活动的。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第四十四条</w:t>
      </w:r>
      <w:r>
        <w:rPr>
          <w:rFonts w:hint="eastAsia" w:ascii="仿宋_GB2312" w:hAnsi="仿宋_GB2312" w:eastAsia="仿宋_GB2312" w:cs="仿宋_GB2312"/>
          <w:kern w:val="0"/>
          <w:szCs w:val="32"/>
        </w:rPr>
        <w:t>　违反本法第三十七条第一款规定，截留、挪用防沙治沙资金的，对直接负责的主管人员和其他直接责任人员，由监察机关或者上级行政主管部门依法给予行政处分；构成犯罪的，依法追究刑事责任。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防沙治沙监督管理人员滥用职权、玩忽职守、徇私舞弊，构成犯罪的，依法追究刑事责任。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第四十六条</w:t>
      </w:r>
      <w:r>
        <w:rPr>
          <w:rFonts w:hint="eastAsia" w:ascii="仿宋_GB2312" w:hAnsi="仿宋_GB2312" w:eastAsia="仿宋_GB2312" w:cs="仿宋_GB2312"/>
          <w:kern w:val="0"/>
          <w:szCs w:val="32"/>
        </w:rPr>
        <w:t>　本法第五条第二款中所称的有关法律，是指《中华人民共和国森林法》《中华人民共和国草原法》《中华人民共和国水土保持法》《中华人民共和国土地管理法》《中华人民共和国环境保护法》和《中华人民共和国气象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本法自2002年1月1日起施行。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5FB34F3B"/>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23</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2018-12-01T02:33:28Z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