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08230">
      <w:pPr>
        <w:spacing w:after="0" w:line="560" w:lineRule="exact"/>
        <w:ind w:left="0" w:right="0" w:firstLine="0"/>
        <w:rPr>
          <w:rFonts w:ascii="黑体" w:hAnsi="黑体" w:eastAsia="黑体" w:cs="黑体"/>
          <w:szCs w:val="28"/>
        </w:rPr>
      </w:pPr>
      <w:r>
        <w:rPr>
          <w:rFonts w:hint="eastAsia" w:ascii="黑体" w:hAnsi="黑体" w:eastAsia="黑体" w:cs="黑体"/>
          <w:szCs w:val="28"/>
        </w:rPr>
        <w:t>附件1</w:t>
      </w:r>
    </w:p>
    <w:p w14:paraId="31CDC856">
      <w:pPr>
        <w:spacing w:after="0" w:line="560" w:lineRule="exact"/>
        <w:ind w:left="0" w:right="0" w:firstLine="0"/>
        <w:rPr>
          <w:rFonts w:ascii="黑体" w:hAnsi="黑体" w:eastAsia="黑体" w:cs="黑体"/>
          <w:szCs w:val="28"/>
        </w:rPr>
      </w:pPr>
    </w:p>
    <w:p w14:paraId="5201F951">
      <w:pPr>
        <w:spacing w:after="0" w:line="560" w:lineRule="exact"/>
        <w:ind w:left="0" w:right="0" w:firstLine="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吉林省林业草原保护利用“十五五”规划</w:t>
      </w:r>
    </w:p>
    <w:p w14:paraId="6014C30E">
      <w:pPr>
        <w:spacing w:after="0" w:line="560" w:lineRule="exact"/>
        <w:ind w:left="0" w:right="34" w:firstLine="0"/>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征求意见</w:t>
      </w:r>
      <w:r>
        <w:rPr>
          <w:rFonts w:hint="eastAsia" w:ascii="楷体_GB2312" w:hAnsi="楷体_GB2312" w:eastAsia="楷体_GB2312" w:cs="楷体_GB2312"/>
          <w:sz w:val="32"/>
          <w:szCs w:val="32"/>
        </w:rPr>
        <w:t>稿）</w:t>
      </w:r>
    </w:p>
    <w:p w14:paraId="6514C727">
      <w:pPr>
        <w:spacing w:after="0" w:line="560" w:lineRule="exact"/>
        <w:ind w:left="0" w:right="34" w:firstLine="0"/>
        <w:jc w:val="center"/>
        <w:rPr>
          <w:rFonts w:ascii="楷体" w:hAnsi="楷体" w:eastAsia="楷体" w:cs="方正小标宋简体"/>
          <w:sz w:val="32"/>
          <w:szCs w:val="32"/>
        </w:rPr>
      </w:pPr>
    </w:p>
    <w:p w14:paraId="1044DA62">
      <w:pPr>
        <w:spacing w:after="0" w:line="560" w:lineRule="exact"/>
        <w:ind w:left="0" w:right="0" w:firstLine="63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森林和草原是陆地生</w:t>
      </w:r>
      <w:bookmarkStart w:id="43" w:name="_GoBack"/>
      <w:bookmarkEnd w:id="43"/>
      <w:r>
        <w:rPr>
          <w:rFonts w:hint="eastAsia" w:ascii="仿宋_GB2312" w:hAnsi="仿宋_GB2312" w:eastAsia="仿宋_GB2312" w:cs="仿宋_GB2312"/>
          <w:sz w:val="32"/>
          <w:szCs w:val="32"/>
        </w:rPr>
        <w:t>态的主体，是国家、民族最大的生存资本，是人类生存的根基。林草兴则生态兴，生态兴则文明兴。为推进林草高水平保护和高质量发展，建设生态林业、富民林业、人文林业，加强“森林四库”建设，依据国家和省“十五五”相关规划，制定本规划。</w:t>
      </w:r>
    </w:p>
    <w:p w14:paraId="0F439C22">
      <w:pPr>
        <w:spacing w:after="0" w:line="560" w:lineRule="exact"/>
        <w:ind w:left="0" w:right="0" w:firstLine="632" w:firstLineChars="200"/>
        <w:rPr>
          <w:rFonts w:ascii="仿宋" w:hAnsi="仿宋" w:eastAsia="仿宋"/>
          <w:sz w:val="32"/>
          <w:szCs w:val="32"/>
        </w:rPr>
      </w:pPr>
      <w:r>
        <w:rPr>
          <w:rFonts w:hint="eastAsia" w:ascii="黑体" w:hAnsi="黑体" w:eastAsia="黑体"/>
          <w:sz w:val="32"/>
          <w:szCs w:val="32"/>
        </w:rPr>
        <w:t>一</w:t>
      </w:r>
      <w:r>
        <w:rPr>
          <w:rFonts w:ascii="黑体" w:hAnsi="黑体" w:eastAsia="黑体"/>
          <w:sz w:val="32"/>
          <w:szCs w:val="32"/>
        </w:rPr>
        <w:t>、发展</w:t>
      </w:r>
      <w:r>
        <w:rPr>
          <w:rFonts w:hint="eastAsia" w:ascii="黑体" w:hAnsi="黑体" w:eastAsia="黑体"/>
          <w:sz w:val="32"/>
          <w:szCs w:val="32"/>
        </w:rPr>
        <w:t>基础</w:t>
      </w:r>
    </w:p>
    <w:p w14:paraId="0F473676">
      <w:pPr>
        <w:spacing w:after="0" w:line="560" w:lineRule="exact"/>
        <w:ind w:left="0" w:right="0" w:firstLine="632"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drawing>
          <wp:anchor distT="0" distB="0" distL="114300" distR="114300" simplePos="0" relativeHeight="251659264" behindDoc="0" locked="0" layoutInCell="1" allowOverlap="0">
            <wp:simplePos x="0" y="0"/>
            <wp:positionH relativeFrom="page">
              <wp:posOffset>7128510</wp:posOffset>
            </wp:positionH>
            <wp:positionV relativeFrom="page">
              <wp:posOffset>3832225</wp:posOffset>
            </wp:positionV>
            <wp:extent cx="12065" cy="15240"/>
            <wp:effectExtent l="0" t="0" r="0" b="0"/>
            <wp:wrapSquare wrapText="bothSides"/>
            <wp:docPr id="2265" name="Picture 2265"/>
            <wp:cNvGraphicFramePr/>
            <a:graphic xmlns:a="http://schemas.openxmlformats.org/drawingml/2006/main">
              <a:graphicData uri="http://schemas.openxmlformats.org/drawingml/2006/picture">
                <pic:pic xmlns:pic="http://schemas.openxmlformats.org/drawingml/2006/picture">
                  <pic:nvPicPr>
                    <pic:cNvPr id="2265" name="Picture 2265"/>
                    <pic:cNvPicPr/>
                  </pic:nvPicPr>
                  <pic:blipFill>
                    <a:blip r:embed="rId7"/>
                    <a:stretch>
                      <a:fillRect/>
                    </a:stretch>
                  </pic:blipFill>
                  <pic:spPr>
                    <a:xfrm>
                      <a:off x="0" y="0"/>
                      <a:ext cx="12196" cy="15244"/>
                    </a:xfrm>
                    <a:prstGeom prst="rect">
                      <a:avLst/>
                    </a:prstGeom>
                  </pic:spPr>
                </pic:pic>
              </a:graphicData>
            </a:graphic>
          </wp:anchor>
        </w:drawing>
      </w:r>
      <w:r>
        <w:rPr>
          <w:rFonts w:hint="eastAsia" w:ascii="楷体_GB2312" w:hAnsi="楷体_GB2312" w:eastAsia="楷体_GB2312" w:cs="楷体_GB2312"/>
          <w:sz w:val="32"/>
          <w:szCs w:val="32"/>
        </w:rPr>
        <w:drawing>
          <wp:anchor distT="0" distB="0" distL="114300" distR="114300" simplePos="0" relativeHeight="251660288" behindDoc="0" locked="0" layoutInCell="1" allowOverlap="0">
            <wp:simplePos x="0" y="0"/>
            <wp:positionH relativeFrom="page">
              <wp:posOffset>704215</wp:posOffset>
            </wp:positionH>
            <wp:positionV relativeFrom="page">
              <wp:posOffset>6359525</wp:posOffset>
            </wp:positionV>
            <wp:extent cx="15240" cy="15240"/>
            <wp:effectExtent l="0" t="0" r="0" b="0"/>
            <wp:wrapSquare wrapText="bothSides"/>
            <wp:docPr id="2267" name="Picture 2267"/>
            <wp:cNvGraphicFramePr/>
            <a:graphic xmlns:a="http://schemas.openxmlformats.org/drawingml/2006/main">
              <a:graphicData uri="http://schemas.openxmlformats.org/drawingml/2006/picture">
                <pic:pic xmlns:pic="http://schemas.openxmlformats.org/drawingml/2006/picture">
                  <pic:nvPicPr>
                    <pic:cNvPr id="2267" name="Picture 2267"/>
                    <pic:cNvPicPr/>
                  </pic:nvPicPr>
                  <pic:blipFill>
                    <a:blip r:embed="rId8"/>
                    <a:stretch>
                      <a:fillRect/>
                    </a:stretch>
                  </pic:blipFill>
                  <pic:spPr>
                    <a:xfrm>
                      <a:off x="0" y="0"/>
                      <a:ext cx="15245" cy="15244"/>
                    </a:xfrm>
                    <a:prstGeom prst="rect">
                      <a:avLst/>
                    </a:prstGeom>
                  </pic:spPr>
                </pic:pic>
              </a:graphicData>
            </a:graphic>
          </wp:anchor>
        </w:drawing>
      </w:r>
      <w:r>
        <w:rPr>
          <w:rFonts w:hint="eastAsia" w:ascii="楷体_GB2312" w:hAnsi="楷体_GB2312" w:eastAsia="楷体_GB2312" w:cs="楷体_GB2312"/>
          <w:sz w:val="32"/>
          <w:szCs w:val="32"/>
        </w:rPr>
        <w:t>（一）“十四五”建设成效显著</w:t>
      </w:r>
    </w:p>
    <w:p w14:paraId="157ACB4D">
      <w:pPr>
        <w:spacing w:after="0" w:line="560" w:lineRule="exact"/>
        <w:ind w:left="0" w:right="0" w:firstLine="632"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五”时期，吉林林草在省委、省政府的坚强领导和国家林草局的科学指导下，深入践行习近平生态文明思想和“两山”理念，全面贯彻落实习近平总书记视察吉林重要讲话重要指示精神，加强林草资源保护，科学开展国土绿化，扎实推进</w:t>
      </w:r>
      <w:r>
        <w:rPr>
          <w:rFonts w:hint="eastAsia" w:ascii="仿宋_GB2312" w:hAnsi="仿宋_GB2312" w:eastAsia="仿宋_GB2312" w:cs="仿宋_GB2312"/>
          <w:sz w:val="32"/>
          <w:szCs w:val="32"/>
          <w:lang w:val="en-US" w:eastAsia="zh-CN"/>
        </w:rPr>
        <w:t>生物多样性保护、</w:t>
      </w:r>
      <w:r>
        <w:rPr>
          <w:rFonts w:hint="eastAsia" w:ascii="仿宋_GB2312" w:hAnsi="仿宋_GB2312" w:eastAsia="仿宋_GB2312" w:cs="仿宋_GB2312"/>
          <w:sz w:val="32"/>
          <w:szCs w:val="32"/>
        </w:rPr>
        <w:t>重大生态修复工程，</w:t>
      </w:r>
      <w:bookmarkStart w:id="0" w:name="OLE_LINK20"/>
      <w:bookmarkStart w:id="1" w:name="OLE_LINK21"/>
      <w:bookmarkStart w:id="2" w:name="OLE_LINK12"/>
      <w:bookmarkStart w:id="3" w:name="OLE_LINK11"/>
      <w:r>
        <w:rPr>
          <w:rFonts w:hint="eastAsia" w:ascii="仿宋_GB2312" w:hAnsi="仿宋_GB2312" w:eastAsia="仿宋_GB2312" w:cs="仿宋_GB2312"/>
          <w:sz w:val="32"/>
          <w:szCs w:val="32"/>
        </w:rPr>
        <w:t>深化林草领域重大改革，</w:t>
      </w:r>
      <w:bookmarkStart w:id="4" w:name="OLE_LINK23"/>
      <w:bookmarkStart w:id="5" w:name="OLE_LINK22"/>
      <w:r>
        <w:rPr>
          <w:rFonts w:hint="eastAsia" w:ascii="仿宋_GB2312" w:hAnsi="仿宋_GB2312" w:eastAsia="仿宋_GB2312" w:cs="仿宋_GB2312"/>
          <w:sz w:val="32"/>
          <w:szCs w:val="32"/>
        </w:rPr>
        <w:t>加快推动林草产业提质增效</w:t>
      </w:r>
      <w:bookmarkEnd w:id="4"/>
      <w:bookmarkEnd w:id="5"/>
      <w:r>
        <w:rPr>
          <w:rFonts w:hint="eastAsia" w:ascii="仿宋_GB2312" w:hAnsi="仿宋_GB2312" w:eastAsia="仿宋_GB2312" w:cs="仿宋_GB2312"/>
          <w:sz w:val="32"/>
          <w:szCs w:val="32"/>
        </w:rPr>
        <w:t>，</w:t>
      </w:r>
      <w:bookmarkEnd w:id="0"/>
      <w:bookmarkEnd w:id="1"/>
      <w:r>
        <w:rPr>
          <w:rFonts w:hint="eastAsia" w:ascii="仿宋_GB2312" w:hAnsi="仿宋_GB2312" w:eastAsia="仿宋_GB2312" w:cs="仿宋_GB2312"/>
          <w:sz w:val="32"/>
          <w:szCs w:val="32"/>
        </w:rPr>
        <w:t>不断为美丽吉林建设注入强劲动能、谱写崭新篇章。</w:t>
      </w:r>
    </w:p>
    <w:p w14:paraId="6BEF198C">
      <w:pPr>
        <w:spacing w:after="0" w:line="560" w:lineRule="exact"/>
        <w:ind w:left="0" w:right="0" w:firstLine="632" w:firstLineChars="200"/>
        <w:rPr>
          <w:rFonts w:ascii="仿宋_GB2312" w:hAnsi="仿宋_GB2312" w:eastAsia="仿宋_GB2312" w:cs="仿宋_GB2312"/>
          <w:sz w:val="32"/>
          <w:szCs w:val="32"/>
        </w:rPr>
      </w:pPr>
      <w:r>
        <w:rPr>
          <w:rFonts w:hint="eastAsia" w:ascii="楷体_GB2312" w:hAnsi="楷体_GB2312" w:eastAsia="楷体_GB2312" w:cs="楷体_GB2312"/>
          <w:bCs/>
          <w:sz w:val="32"/>
          <w:szCs w:val="32"/>
        </w:rPr>
        <w:t>——绿美吉林建设再上新台阶</w:t>
      </w:r>
      <w:r>
        <w:rPr>
          <w:rFonts w:hint="eastAsia" w:ascii="仿宋_GB2312" w:hAnsi="仿宋_GB2312" w:eastAsia="仿宋_GB2312" w:cs="仿宋_GB2312"/>
          <w:sz w:val="32"/>
          <w:szCs w:val="32"/>
        </w:rPr>
        <w:t>。</w:t>
      </w:r>
      <w:bookmarkEnd w:id="2"/>
      <w:bookmarkEnd w:id="3"/>
      <w:bookmarkStart w:id="6" w:name="_Toc29"/>
      <w:r>
        <w:rPr>
          <w:rFonts w:hint="eastAsia" w:ascii="仿宋_GB2312" w:hAnsi="仿宋_GB2312" w:eastAsia="仿宋_GB2312" w:cs="仿宋_GB2312"/>
          <w:sz w:val="32"/>
          <w:szCs w:val="32"/>
        </w:rPr>
        <w:t>全省完成国土绿化1190.6万亩，5728个村屯实现绿化全覆盖。“三北”工程扎实推进，可治理沙化土地治理率达60.23%，全省森林覆盖率达到45.8%(以我省对社会公布的国土面积为基数计算)、森林蓄积量达到12亿立方米、草原综合植被盖度达到72.3%，绿色已成为吉林最鲜明底色。</w:t>
      </w:r>
    </w:p>
    <w:p w14:paraId="7169A1FB">
      <w:pPr>
        <w:spacing w:after="0" w:line="560" w:lineRule="exact"/>
        <w:ind w:left="0" w:right="0" w:firstLine="632" w:firstLineChars="200"/>
        <w:rPr>
          <w:rFonts w:ascii="仿宋" w:hAnsi="仿宋" w:eastAsia="仿宋"/>
          <w:sz w:val="32"/>
          <w:szCs w:val="32"/>
        </w:rPr>
      </w:pPr>
      <w:r>
        <w:rPr>
          <w:rFonts w:hint="eastAsia" w:ascii="楷体_GB2312" w:hAnsi="楷体_GB2312" w:eastAsia="楷体_GB2312" w:cs="楷体_GB2312"/>
          <w:sz w:val="32"/>
          <w:szCs w:val="32"/>
        </w:rPr>
        <w:t>——林草资源保护</w:t>
      </w:r>
      <w:bookmarkEnd w:id="6"/>
      <w:r>
        <w:rPr>
          <w:rFonts w:hint="eastAsia" w:ascii="楷体_GB2312" w:hAnsi="楷体_GB2312" w:eastAsia="楷体_GB2312" w:cs="楷体_GB2312"/>
          <w:sz w:val="32"/>
          <w:szCs w:val="32"/>
        </w:rPr>
        <w:t>步入新阶段</w:t>
      </w:r>
      <w:r>
        <w:rPr>
          <w:rFonts w:hint="eastAsia" w:ascii="仿宋_GB2312" w:hAnsi="仿宋_GB2312" w:eastAsia="仿宋_GB2312" w:cs="仿宋_GB2312"/>
          <w:sz w:val="32"/>
          <w:szCs w:val="32"/>
        </w:rPr>
        <w:t>。</w:t>
      </w:r>
      <w:bookmarkStart w:id="7" w:name="_Toc27446"/>
      <w:bookmarkStart w:id="8" w:name="_Toc17087"/>
      <w:r>
        <w:rPr>
          <w:rFonts w:hint="eastAsia" w:ascii="仿宋_GB2312" w:hAnsi="仿宋_GB2312" w:eastAsia="仿宋_GB2312" w:cs="仿宋_GB2312"/>
          <w:sz w:val="32"/>
          <w:szCs w:val="32"/>
        </w:rPr>
        <w:t>完成国土“三调”对接融合，构建森林草原湿地荒漠化综合调查监测体系。常态化开展青山草原湿地保卫行动，加强野生动植物保护，野生东北虎豹达到70只、80只左右，中华秋沙鸭超过600只，全省散生古树实现有效管护，初步建成以东北虎豹国家公园为主体的自然保护地体系。</w:t>
      </w:r>
    </w:p>
    <w:p w14:paraId="44122564">
      <w:pPr>
        <w:spacing w:after="0" w:line="560" w:lineRule="exact"/>
        <w:ind w:left="0" w:right="0" w:firstLine="632"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——高质量发展</w:t>
      </w:r>
      <w:bookmarkEnd w:id="7"/>
      <w:bookmarkEnd w:id="8"/>
      <w:r>
        <w:rPr>
          <w:rFonts w:hint="eastAsia" w:ascii="楷体_GB2312" w:hAnsi="楷体_GB2312" w:eastAsia="楷体_GB2312" w:cs="楷体_GB2312"/>
          <w:sz w:val="32"/>
          <w:szCs w:val="32"/>
        </w:rPr>
        <w:t>实现新跨越</w:t>
      </w:r>
      <w:r>
        <w:rPr>
          <w:rFonts w:hint="eastAsia" w:ascii="仿宋_GB2312" w:hAnsi="仿宋_GB2312" w:eastAsia="仿宋_GB2312" w:cs="仿宋_GB2312"/>
          <w:bCs/>
          <w:sz w:val="32"/>
          <w:szCs w:val="32"/>
        </w:rPr>
        <w:t>。</w:t>
      </w:r>
      <w:bookmarkStart w:id="9" w:name="OLE_LINK27"/>
      <w:r>
        <w:rPr>
          <w:rFonts w:hint="eastAsia" w:ascii="仿宋_GB2312" w:hAnsi="仿宋_GB2312" w:eastAsia="仿宋_GB2312" w:cs="仿宋_GB2312"/>
          <w:sz w:val="32"/>
          <w:szCs w:val="32"/>
        </w:rPr>
        <w:t>深化集体林权制度改革</w:t>
      </w:r>
      <w:bookmarkEnd w:id="9"/>
      <w:r>
        <w:rPr>
          <w:rFonts w:hint="eastAsia" w:ascii="仿宋_GB2312" w:hAnsi="仿宋_GB2312" w:eastAsia="仿宋_GB2312" w:cs="仿宋_GB2312"/>
          <w:sz w:val="32"/>
          <w:szCs w:val="32"/>
        </w:rPr>
        <w:t>，加快推进兴绿富民步伐。聚焦林下及林特产业集群建设，培育壮大林药、林果、林菌、林菜等优势主导产业，强化科技、品牌、融资、营销、人才五大平台建设，创新举办首届“京东·吉林林下经济节”等系列活动，林草产业总产值突破2300亿元，实现历史性跨越。</w:t>
      </w:r>
    </w:p>
    <w:p w14:paraId="6A1F882E">
      <w:pPr>
        <w:spacing w:after="0" w:line="560" w:lineRule="exact"/>
        <w:ind w:left="0" w:right="0" w:firstLine="632" w:firstLineChars="200"/>
        <w:rPr>
          <w:rFonts w:ascii="仿宋" w:hAnsi="仿宋" w:eastAsia="仿宋"/>
          <w:sz w:val="32"/>
          <w:szCs w:val="32"/>
        </w:rPr>
      </w:pPr>
      <w:r>
        <w:rPr>
          <w:rFonts w:hint="eastAsia" w:ascii="楷体_GB2312" w:hAnsi="楷体_GB2312" w:eastAsia="楷体_GB2312" w:cs="楷体_GB2312"/>
          <w:sz w:val="32"/>
          <w:szCs w:val="32"/>
        </w:rPr>
        <w:t>——现代化治理能力迈向新高度</w:t>
      </w:r>
      <w:r>
        <w:rPr>
          <w:rFonts w:hint="eastAsia" w:ascii="仿宋_GB2312" w:hAnsi="仿宋_GB2312" w:eastAsia="仿宋_GB2312" w:cs="仿宋_GB2312"/>
          <w:sz w:val="32"/>
          <w:szCs w:val="32"/>
        </w:rPr>
        <w:t>。</w:t>
      </w:r>
      <w:bookmarkStart w:id="10" w:name="_Toc19778"/>
      <w:bookmarkStart w:id="11" w:name="_Toc19285"/>
      <w:r>
        <w:rPr>
          <w:rFonts w:hint="eastAsia" w:ascii="仿宋_GB2312" w:hAnsi="仿宋_GB2312" w:eastAsia="仿宋_GB2312" w:cs="仿宋_GB2312"/>
          <w:sz w:val="32"/>
          <w:szCs w:val="32"/>
        </w:rPr>
        <w:t>全面推行林长制，出台《吉林省全面推行林长制实施方案》，各级党委、政府林草资源保护责任全面压实。深化国有林区转型发展，先行先试开展现代化国有林场建设试点，充分激发林场林区发展活力。加强依法管林治林，先后颁布实施林木种子、林业有害生物防治、草原管理、野生动物保护、</w:t>
      </w:r>
      <w:r>
        <w:rPr>
          <w:rFonts w:hint="eastAsia" w:ascii="仿宋_GB2312" w:hAnsi="仿宋_GB2312" w:eastAsia="仿宋_GB2312" w:cs="仿宋_GB2312"/>
          <w:sz w:val="32"/>
        </w:rPr>
        <w:t>古树名木保护</w:t>
      </w:r>
      <w:r>
        <w:rPr>
          <w:rFonts w:hint="eastAsia" w:ascii="仿宋_GB2312" w:hAnsi="仿宋_GB2312" w:eastAsia="仿宋_GB2312" w:cs="仿宋_GB2312"/>
          <w:sz w:val="32"/>
          <w:szCs w:val="32"/>
        </w:rPr>
        <w:t>5部条例，林草治理法制化、规范化水平全面提升。</w:t>
      </w:r>
    </w:p>
    <w:p w14:paraId="64B9D2DF">
      <w:pPr>
        <w:spacing w:after="0" w:line="560" w:lineRule="exact"/>
        <w:ind w:left="0" w:right="0" w:firstLine="632" w:firstLineChars="200"/>
        <w:rPr>
          <w:rFonts w:ascii="仿宋" w:hAnsi="仿宋" w:eastAsia="仿宋"/>
          <w:sz w:val="32"/>
          <w:szCs w:val="32"/>
        </w:rPr>
      </w:pPr>
      <w:r>
        <w:rPr>
          <w:rFonts w:hint="eastAsia" w:ascii="楷体_GB2312" w:hAnsi="楷体_GB2312" w:eastAsia="楷体_GB2312" w:cs="楷体_GB2312"/>
          <w:sz w:val="32"/>
          <w:szCs w:val="32"/>
        </w:rPr>
        <w:t>——支撑保障体系</w:t>
      </w:r>
      <w:bookmarkEnd w:id="10"/>
      <w:bookmarkEnd w:id="11"/>
      <w:r>
        <w:rPr>
          <w:rFonts w:hint="eastAsia" w:ascii="楷体_GB2312" w:hAnsi="楷体_GB2312" w:eastAsia="楷体_GB2312" w:cs="楷体_GB2312"/>
          <w:sz w:val="32"/>
          <w:szCs w:val="32"/>
        </w:rPr>
        <w:t>建设取得新成效</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森林草原火灾预防、扑救、保障能力全面增强，新建改造防火应急道路约1.07万公里、建成森林消防队伍447支，维护边境防火隔离带约3080公里，创下连续45年无重大森林火灾佳绩。</w:t>
      </w:r>
      <w:r>
        <w:rPr>
          <w:rFonts w:hint="eastAsia" w:ascii="仿宋_GB2312" w:hAnsi="仿宋_GB2312" w:eastAsia="仿宋_GB2312" w:cs="仿宋_GB2312"/>
          <w:sz w:val="32"/>
          <w:szCs w:val="32"/>
        </w:rPr>
        <w:t>加强疫源疫病防控，成功拔除2个松材线虫病疫区、3个美国白蛾疫区，防控水平稳步提升。超额完成林草种质资源普查与收集工作任务。全面推进“智慧林草”建设，架构生态感知“一张图”、空天互联网，搭建特色电商平台，数字化支撑作用凸显。</w:t>
      </w:r>
    </w:p>
    <w:p w14:paraId="53C174D0">
      <w:pPr>
        <w:spacing w:after="0" w:line="560" w:lineRule="exact"/>
        <w:ind w:left="0" w:right="0" w:firstLine="632" w:firstLineChars="200"/>
        <w:rPr>
          <w:rFonts w:ascii="楷体_GB2312" w:hAnsi="楷体_GB2312" w:eastAsia="楷体_GB2312" w:cs="楷体_GB2312"/>
          <w:sz w:val="32"/>
          <w:szCs w:val="32"/>
        </w:rPr>
      </w:pPr>
      <w:r>
        <w:rPr>
          <w:rFonts w:hint="eastAsia" w:ascii="楷体_GB2312" w:hAnsi="楷体_GB2312" w:eastAsia="楷体_GB2312" w:cs="楷体_GB2312"/>
          <w:bCs/>
          <w:sz w:val="32"/>
          <w:szCs w:val="32"/>
        </w:rPr>
        <w:t>（二）</w:t>
      </w:r>
      <w:r>
        <w:rPr>
          <w:rFonts w:hint="eastAsia" w:ascii="楷体_GB2312" w:hAnsi="楷体_GB2312" w:eastAsia="楷体_GB2312" w:cs="楷体_GB2312"/>
          <w:sz w:val="32"/>
          <w:szCs w:val="32"/>
        </w:rPr>
        <w:t>面临的机遇和挑战</w:t>
      </w:r>
    </w:p>
    <w:p w14:paraId="2D76D33B">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重大机遇</w:t>
      </w:r>
      <w:r>
        <w:rPr>
          <w:rFonts w:hint="eastAsia" w:ascii="仿宋_GB2312" w:hAnsi="仿宋_GB2312" w:eastAsia="仿宋_GB2312" w:cs="仿宋_GB2312"/>
          <w:color w:val="auto"/>
          <w:sz w:val="32"/>
          <w:szCs w:val="32"/>
        </w:rPr>
        <w:t>。以习近平生态文明思想和“两山”理念为指导，生态文明建设发生历史性、转折性、全局性变化，林草生态地位日渐提升，发展体制机制不断完善，为林草高水平保护和高质量发展注入强大动能。建设人与自然和谐共生的现代化推动林草事业与经济社会发展同频共振，新时代东北全面振兴政策红利持续释放，新技术、新场景在林草应用日益广泛，为吉林林草改革发展带来创新活力。坚持生态优先、绿色发展，全省“森林四库”建设全面启动、生态环境质量持续改善、林草产业发展空间不断拓展，林草对经济社会发展的可持续支撑作用日渐凸显，为加快发展奠定了日益坚实的物质基础。</w:t>
      </w:r>
    </w:p>
    <w:p w14:paraId="415710A0">
      <w:pPr>
        <w:spacing w:after="0" w:line="560" w:lineRule="exact"/>
        <w:ind w:left="0" w:right="0" w:firstLine="632" w:firstLineChars="200"/>
        <w:rPr>
          <w:rFonts w:ascii="仿宋" w:hAnsi="仿宋" w:eastAsia="仿宋"/>
          <w:color w:val="auto"/>
          <w:sz w:val="32"/>
          <w:szCs w:val="32"/>
        </w:rPr>
      </w:pPr>
      <w:r>
        <w:rPr>
          <w:rFonts w:hint="eastAsia" w:ascii="楷体_GB2312" w:hAnsi="楷体_GB2312" w:eastAsia="楷体_GB2312" w:cs="楷体_GB2312"/>
          <w:color w:val="auto"/>
          <w:sz w:val="32"/>
          <w:szCs w:val="32"/>
        </w:rPr>
        <w:t>面临挑战</w:t>
      </w:r>
      <w:r>
        <w:rPr>
          <w:rFonts w:hint="eastAsia" w:ascii="仿宋_GB2312" w:hAnsi="仿宋_GB2312" w:eastAsia="仿宋_GB2312" w:cs="仿宋_GB2312"/>
          <w:color w:val="auto"/>
          <w:sz w:val="32"/>
          <w:szCs w:val="32"/>
        </w:rPr>
        <w:t>。林草重保护、轻发展的传统思维定势尚未彻底打破，制约林草高质量发展的体制机制障碍尚未有效</w:t>
      </w:r>
      <w:r>
        <w:rPr>
          <w:rFonts w:hint="eastAsia" w:ascii="仿宋_GB2312" w:hAnsi="仿宋_GB2312" w:eastAsia="仿宋_GB2312" w:cs="仿宋_GB2312"/>
          <w:color w:val="auto"/>
          <w:sz w:val="32"/>
          <w:szCs w:val="32"/>
          <w:lang w:val="en-US" w:eastAsia="zh-CN"/>
        </w:rPr>
        <w:t>破解</w:t>
      </w:r>
      <w:r>
        <w:rPr>
          <w:rFonts w:hint="eastAsia" w:ascii="仿宋_GB2312" w:hAnsi="仿宋_GB2312" w:eastAsia="仿宋_GB2312" w:cs="仿宋_GB2312"/>
          <w:color w:val="auto"/>
          <w:sz w:val="32"/>
          <w:szCs w:val="32"/>
        </w:rPr>
        <w:t>，内生活力和动力还有待激发。全省林草资源东中西部差异大、分布不均、质量不高、功能不强的形势依然严峻，整体修复、系统治理、依法保护存在短板弱项，美丽吉林建设的任务依然任重道远。林草产业发展还不平衡、不充分，资源利用和要素流动壁垒尚未有效消除，“大资源、小产业、低效益”问题亟待破解。林场林区基础设施建设</w:t>
      </w:r>
      <w:r>
        <w:rPr>
          <w:rFonts w:hint="eastAsia" w:ascii="仿宋_GB2312" w:hAnsi="仿宋_GB2312" w:eastAsia="仿宋_GB2312" w:cs="仿宋_GB2312"/>
          <w:color w:val="auto"/>
          <w:sz w:val="32"/>
          <w:szCs w:val="32"/>
          <w:lang w:val="en-US" w:eastAsia="zh-CN"/>
        </w:rPr>
        <w:t>历史欠账多</w:t>
      </w:r>
      <w:r>
        <w:rPr>
          <w:rFonts w:hint="eastAsia" w:ascii="仿宋_GB2312" w:hAnsi="仿宋_GB2312" w:eastAsia="仿宋_GB2312" w:cs="仿宋_GB2312"/>
          <w:color w:val="auto"/>
          <w:sz w:val="32"/>
          <w:szCs w:val="32"/>
        </w:rPr>
        <w:t>，公共服务均等化尚未全面覆盖林区，民生改善还有待于进一步加强。</w:t>
      </w:r>
    </w:p>
    <w:p w14:paraId="08F79F8D">
      <w:pPr>
        <w:spacing w:after="0" w:line="560" w:lineRule="exact"/>
        <w:ind w:left="0" w:right="0" w:firstLine="632" w:firstLineChars="200"/>
        <w:rPr>
          <w:rFonts w:ascii="黑体" w:hAnsi="黑体" w:eastAsia="黑体"/>
          <w:color w:val="auto"/>
          <w:sz w:val="32"/>
          <w:szCs w:val="32"/>
        </w:rPr>
      </w:pPr>
      <w:r>
        <w:rPr>
          <w:rFonts w:hint="eastAsia" w:ascii="黑体" w:hAnsi="黑体" w:eastAsia="黑体"/>
          <w:color w:val="auto"/>
          <w:sz w:val="32"/>
          <w:szCs w:val="32"/>
        </w:rPr>
        <w:t>二、总体要求</w:t>
      </w:r>
    </w:p>
    <w:p w14:paraId="1834A7AC">
      <w:pPr>
        <w:spacing w:after="0" w:line="560" w:lineRule="exact"/>
        <w:ind w:left="0" w:right="0" w:firstLine="632"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（一）指导思想</w:t>
      </w:r>
    </w:p>
    <w:p w14:paraId="0E9F488C">
      <w:pPr>
        <w:spacing w:after="0" w:line="560" w:lineRule="exact"/>
        <w:ind w:left="0" w:right="0" w:firstLine="63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习近平新时代中国特色社会主义思想特别是习近平生态文明思想为指导，深入贯彻党的二十大、二十届历次全会精神，不折不扣落实习近平总书记关于吉林工作和林草工作重要指示批示精神，认真落实省委十二届历次全会精神和省委、省政府部署要求，牢固树立和践行绿水青山就是金山银山理念，坚持山水林田湖草沙一体化保护和系统治理，坚持“三绿”并举、“四库”联动，坚持更加注重提质兴业利民，以扛稳维护国家生态安全重大责任为核心，以实现高水平保护和高质量发展为目标，以“森林四库”建设为抓手，以提升林草湿生态系统</w:t>
      </w:r>
      <w:bookmarkStart w:id="12" w:name="OLE_LINK40"/>
      <w:bookmarkStart w:id="13" w:name="OLE_LINK39"/>
      <w:r>
        <w:rPr>
          <w:rFonts w:hint="eastAsia" w:ascii="仿宋_GB2312" w:hAnsi="仿宋_GB2312" w:eastAsia="仿宋_GB2312" w:cs="仿宋_GB2312"/>
          <w:color w:val="auto"/>
          <w:sz w:val="32"/>
          <w:szCs w:val="32"/>
        </w:rPr>
        <w:t>多样性、稳定性、持续性</w:t>
      </w:r>
      <w:bookmarkEnd w:id="12"/>
      <w:bookmarkEnd w:id="13"/>
      <w:r>
        <w:rPr>
          <w:rFonts w:hint="eastAsia" w:ascii="仿宋_GB2312" w:hAnsi="仿宋_GB2312" w:eastAsia="仿宋_GB2312" w:cs="仿宋_GB2312"/>
          <w:color w:val="auto"/>
          <w:sz w:val="32"/>
          <w:szCs w:val="32"/>
        </w:rPr>
        <w:t>为主攻方向，统筹科学保护、系统治理和合理利用，科学开展国土绿化行动，深入实施重大生态保护修复工程，加强具有吉林特色的自然保护地体系建设，依法保护管理林草资源，着力壮大林草产业，不断厚植绿色发展底色、增强绿色发展动能，为加快建设美丽吉林、推动吉林全面振兴取得新突破做出林草贡献。</w:t>
      </w:r>
    </w:p>
    <w:p w14:paraId="7E9B5F9C">
      <w:pPr>
        <w:spacing w:after="0" w:line="560" w:lineRule="exact"/>
        <w:ind w:left="0" w:right="0" w:firstLine="632"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（二）主要目标</w:t>
      </w:r>
    </w:p>
    <w:p w14:paraId="7C57180F">
      <w:pPr>
        <w:spacing w:after="0" w:line="560" w:lineRule="exact"/>
        <w:ind w:left="0" w:right="0" w:firstLine="63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到2030年，我省林地保有量不低于870万公顷，“三北”工程、“双重”工程等重点项目建设取得重大成果，森林质量明显提升，“森林四库”建设成效显著，具有吉林特色的自然保护地体系基本建成，国土绿化再上新水平，资源保护再创新局面，产业发展再上新台阶，森林、草原、湿地生态系统功能和稳定性持续增强，初步实现高水平保护和高质量发展相统一。到2035年，实现林草发展质量效益全面提升，基本构建形成具有吉林特色的现代化的林草资源保护体系、生态修复体系、产业发展体系、基础支撑体系和现代治理体系，全面筑牢生态安全屏障，优质生态产品供给极大丰富，林草成为建设美丽吉林、人与自然和谐共生现代化的重要支撑保障。</w:t>
      </w:r>
    </w:p>
    <w:p w14:paraId="621F4869">
      <w:pPr>
        <w:spacing w:after="0" w:line="600" w:lineRule="exact"/>
        <w:ind w:left="0" w:right="0" w:firstLine="0"/>
        <w:jc w:val="center"/>
        <w:rPr>
          <w:rFonts w:ascii="黑体" w:hAnsi="黑体" w:eastAsia="黑体"/>
          <w:color w:val="auto"/>
          <w:sz w:val="32"/>
          <w:szCs w:val="32"/>
        </w:rPr>
      </w:pPr>
      <w:r>
        <w:rPr>
          <w:rFonts w:ascii="黑体" w:hAnsi="黑体" w:eastAsia="黑体"/>
          <w:color w:val="auto"/>
          <w:sz w:val="32"/>
          <w:szCs w:val="32"/>
        </w:rPr>
        <w:t>十五五”时期林业草原保护利用主要指标</w:t>
      </w:r>
    </w:p>
    <w:p w14:paraId="15E3DBC6">
      <w:pPr>
        <w:spacing w:after="0" w:line="240" w:lineRule="exact"/>
        <w:ind w:left="0" w:right="0" w:firstLine="0"/>
        <w:jc w:val="center"/>
        <w:rPr>
          <w:rFonts w:ascii="黑体" w:hAnsi="黑体" w:eastAsia="黑体"/>
          <w:color w:val="auto"/>
          <w:sz w:val="32"/>
          <w:szCs w:val="32"/>
        </w:rPr>
      </w:pPr>
    </w:p>
    <w:tbl>
      <w:tblPr>
        <w:tblStyle w:val="12"/>
        <w:tblW w:w="5815" w:type="pct"/>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801"/>
        <w:gridCol w:w="1650"/>
        <w:gridCol w:w="2005"/>
        <w:gridCol w:w="1883"/>
        <w:gridCol w:w="1322"/>
      </w:tblGrid>
      <w:tr w14:paraId="483F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72" w:type="dxa"/>
            <w:tcBorders>
              <w:top w:val="single" w:color="auto" w:sz="4" w:space="0"/>
              <w:left w:val="single" w:color="auto" w:sz="4" w:space="0"/>
              <w:bottom w:val="single" w:color="auto" w:sz="4" w:space="0"/>
              <w:right w:val="single" w:color="auto" w:sz="4" w:space="0"/>
            </w:tcBorders>
            <w:vAlign w:val="center"/>
          </w:tcPr>
          <w:p w14:paraId="76A08F8F">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序号</w:t>
            </w:r>
          </w:p>
        </w:tc>
        <w:tc>
          <w:tcPr>
            <w:tcW w:w="2805" w:type="dxa"/>
            <w:tcBorders>
              <w:top w:val="single" w:color="auto" w:sz="4" w:space="0"/>
              <w:left w:val="single" w:color="auto" w:sz="4" w:space="0"/>
              <w:bottom w:val="single" w:color="auto" w:sz="4" w:space="0"/>
              <w:right w:val="single" w:color="auto" w:sz="4" w:space="0"/>
            </w:tcBorders>
            <w:vAlign w:val="center"/>
          </w:tcPr>
          <w:p w14:paraId="6DC4F1AD">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主要指标</w:t>
            </w:r>
          </w:p>
        </w:tc>
        <w:tc>
          <w:tcPr>
            <w:tcW w:w="1650" w:type="dxa"/>
            <w:tcBorders>
              <w:top w:val="single" w:color="auto" w:sz="4" w:space="0"/>
              <w:left w:val="single" w:color="auto" w:sz="4" w:space="0"/>
              <w:bottom w:val="single" w:color="auto" w:sz="4" w:space="0"/>
              <w:right w:val="single" w:color="auto" w:sz="4" w:space="0"/>
            </w:tcBorders>
            <w:vAlign w:val="center"/>
          </w:tcPr>
          <w:p w14:paraId="3DB160CE">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单位</w:t>
            </w:r>
          </w:p>
        </w:tc>
        <w:tc>
          <w:tcPr>
            <w:tcW w:w="2006" w:type="dxa"/>
            <w:tcBorders>
              <w:top w:val="single" w:color="auto" w:sz="4" w:space="0"/>
              <w:left w:val="single" w:color="auto" w:sz="4" w:space="0"/>
              <w:bottom w:val="single" w:color="auto" w:sz="4" w:space="0"/>
              <w:right w:val="single" w:color="auto" w:sz="4" w:space="0"/>
            </w:tcBorders>
            <w:vAlign w:val="center"/>
          </w:tcPr>
          <w:p w14:paraId="61A39A18">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现值</w:t>
            </w:r>
          </w:p>
        </w:tc>
        <w:tc>
          <w:tcPr>
            <w:tcW w:w="1883" w:type="dxa"/>
            <w:tcBorders>
              <w:top w:val="single" w:color="auto" w:sz="4" w:space="0"/>
              <w:left w:val="single" w:color="auto" w:sz="4" w:space="0"/>
              <w:bottom w:val="single" w:color="auto" w:sz="4" w:space="0"/>
              <w:right w:val="single" w:color="auto" w:sz="4" w:space="0"/>
            </w:tcBorders>
            <w:vAlign w:val="center"/>
          </w:tcPr>
          <w:p w14:paraId="3B0C3348">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2030年目标值</w:t>
            </w:r>
          </w:p>
        </w:tc>
        <w:tc>
          <w:tcPr>
            <w:tcW w:w="1320" w:type="dxa"/>
            <w:tcBorders>
              <w:top w:val="single" w:color="auto" w:sz="4" w:space="0"/>
              <w:left w:val="single" w:color="auto" w:sz="4" w:space="0"/>
              <w:bottom w:val="single" w:color="auto" w:sz="4" w:space="0"/>
              <w:right w:val="single" w:color="auto" w:sz="4" w:space="0"/>
            </w:tcBorders>
            <w:vAlign w:val="center"/>
          </w:tcPr>
          <w:p w14:paraId="2740D9CA">
            <w:pPr>
              <w:widowControl w:val="0"/>
              <w:spacing w:before="100" w:beforeAutospacing="1" w:after="0" w:line="360" w:lineRule="exact"/>
              <w:ind w:left="0" w:right="0" w:firstLine="0"/>
              <w:jc w:val="center"/>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属性</w:t>
            </w:r>
          </w:p>
        </w:tc>
      </w:tr>
      <w:tr w14:paraId="6110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72" w:type="dxa"/>
            <w:tcBorders>
              <w:top w:val="single" w:color="auto" w:sz="4" w:space="0"/>
              <w:left w:val="single" w:color="auto" w:sz="4" w:space="0"/>
              <w:bottom w:val="single" w:color="auto" w:sz="4" w:space="0"/>
              <w:right w:val="single" w:color="auto" w:sz="4" w:space="0"/>
            </w:tcBorders>
            <w:vAlign w:val="center"/>
          </w:tcPr>
          <w:p w14:paraId="5089615C">
            <w:pPr>
              <w:widowControl w:val="0"/>
              <w:spacing w:before="100" w:beforeAutospacing="1" w:after="0" w:line="36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2805" w:type="dxa"/>
            <w:tcBorders>
              <w:top w:val="single" w:color="auto" w:sz="4" w:space="0"/>
              <w:left w:val="single" w:color="auto" w:sz="4" w:space="0"/>
              <w:bottom w:val="single" w:color="auto" w:sz="4" w:space="0"/>
              <w:right w:val="single" w:color="auto" w:sz="4" w:space="0"/>
            </w:tcBorders>
            <w:vAlign w:val="center"/>
          </w:tcPr>
          <w:p w14:paraId="343C6771">
            <w:pPr>
              <w:widowControl w:val="0"/>
              <w:spacing w:before="100" w:beforeAutospacing="1" w:after="0" w:line="36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林草覆盖率</w:t>
            </w:r>
          </w:p>
        </w:tc>
        <w:tc>
          <w:tcPr>
            <w:tcW w:w="1650" w:type="dxa"/>
            <w:tcBorders>
              <w:top w:val="single" w:color="auto" w:sz="4" w:space="0"/>
              <w:left w:val="single" w:color="auto" w:sz="4" w:space="0"/>
              <w:bottom w:val="single" w:color="auto" w:sz="4" w:space="0"/>
              <w:right w:val="single" w:color="auto" w:sz="4" w:space="0"/>
            </w:tcBorders>
            <w:vAlign w:val="center"/>
          </w:tcPr>
          <w:p w14:paraId="3AD1C57F">
            <w:pPr>
              <w:widowControl w:val="0"/>
              <w:spacing w:before="100" w:beforeAutospacing="1" w:after="0" w:line="36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tc>
        <w:tc>
          <w:tcPr>
            <w:tcW w:w="2006" w:type="dxa"/>
            <w:tcBorders>
              <w:top w:val="single" w:color="auto" w:sz="4" w:space="0"/>
              <w:left w:val="single" w:color="auto" w:sz="4" w:space="0"/>
              <w:bottom w:val="single" w:color="auto" w:sz="4" w:space="0"/>
              <w:right w:val="single" w:color="auto" w:sz="4" w:space="0"/>
            </w:tcBorders>
            <w:vAlign w:val="center"/>
          </w:tcPr>
          <w:p w14:paraId="43723D16">
            <w:pPr>
              <w:widowControl w:val="0"/>
              <w:spacing w:before="100" w:beforeAutospacing="1" w:after="0" w:line="36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47.56</w:t>
            </w:r>
          </w:p>
        </w:tc>
        <w:tc>
          <w:tcPr>
            <w:tcW w:w="1883" w:type="dxa"/>
            <w:tcBorders>
              <w:top w:val="single" w:color="auto" w:sz="4" w:space="0"/>
              <w:left w:val="single" w:color="auto" w:sz="4" w:space="0"/>
              <w:bottom w:val="single" w:color="auto" w:sz="4" w:space="0"/>
              <w:right w:val="single" w:color="auto" w:sz="4" w:space="0"/>
            </w:tcBorders>
            <w:vAlign w:val="center"/>
          </w:tcPr>
          <w:p w14:paraId="5A6D4A07">
            <w:pPr>
              <w:widowControl w:val="0"/>
              <w:spacing w:before="100" w:beforeAutospacing="1" w:after="0" w:line="36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47.65</w:t>
            </w:r>
          </w:p>
        </w:tc>
        <w:tc>
          <w:tcPr>
            <w:tcW w:w="1320" w:type="dxa"/>
            <w:tcBorders>
              <w:top w:val="single" w:color="auto" w:sz="4" w:space="0"/>
              <w:left w:val="single" w:color="auto" w:sz="4" w:space="0"/>
              <w:bottom w:val="single" w:color="auto" w:sz="4" w:space="0"/>
              <w:right w:val="single" w:color="auto" w:sz="4" w:space="0"/>
            </w:tcBorders>
            <w:vAlign w:val="center"/>
          </w:tcPr>
          <w:p w14:paraId="36B4B455">
            <w:pPr>
              <w:widowControl w:val="0"/>
              <w:spacing w:before="100" w:beforeAutospacing="1" w:after="0" w:line="36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预期性</w:t>
            </w:r>
          </w:p>
        </w:tc>
      </w:tr>
      <w:tr w14:paraId="43372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72" w:type="dxa"/>
            <w:tcBorders>
              <w:top w:val="single" w:color="auto" w:sz="4" w:space="0"/>
              <w:left w:val="single" w:color="auto" w:sz="4" w:space="0"/>
              <w:bottom w:val="single" w:color="auto" w:sz="4" w:space="0"/>
              <w:right w:val="single" w:color="auto" w:sz="4" w:space="0"/>
            </w:tcBorders>
            <w:vAlign w:val="center"/>
          </w:tcPr>
          <w:p w14:paraId="728DF1F0">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805" w:type="dxa"/>
            <w:tcBorders>
              <w:top w:val="single" w:color="auto" w:sz="4" w:space="0"/>
              <w:left w:val="single" w:color="auto" w:sz="4" w:space="0"/>
              <w:bottom w:val="single" w:color="auto" w:sz="4" w:space="0"/>
              <w:right w:val="single" w:color="auto" w:sz="4" w:space="0"/>
            </w:tcBorders>
            <w:vAlign w:val="center"/>
          </w:tcPr>
          <w:p w14:paraId="067DE4C3">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森林覆盖率</w:t>
            </w:r>
          </w:p>
        </w:tc>
        <w:tc>
          <w:tcPr>
            <w:tcW w:w="1650" w:type="dxa"/>
            <w:tcBorders>
              <w:top w:val="single" w:color="auto" w:sz="4" w:space="0"/>
              <w:left w:val="single" w:color="auto" w:sz="4" w:space="0"/>
              <w:bottom w:val="single" w:color="auto" w:sz="4" w:space="0"/>
              <w:right w:val="single" w:color="auto" w:sz="4" w:space="0"/>
            </w:tcBorders>
            <w:vAlign w:val="center"/>
          </w:tcPr>
          <w:p w14:paraId="42E3D813">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tc>
        <w:tc>
          <w:tcPr>
            <w:tcW w:w="2006" w:type="dxa"/>
            <w:tcBorders>
              <w:top w:val="single" w:color="auto" w:sz="4" w:space="0"/>
              <w:left w:val="single" w:color="auto" w:sz="4" w:space="0"/>
              <w:bottom w:val="single" w:color="auto" w:sz="4" w:space="0"/>
              <w:right w:val="single" w:color="auto" w:sz="4" w:space="0"/>
            </w:tcBorders>
            <w:vAlign w:val="center"/>
          </w:tcPr>
          <w:p w14:paraId="1DCC6829">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44.89</w:t>
            </w:r>
          </w:p>
        </w:tc>
        <w:tc>
          <w:tcPr>
            <w:tcW w:w="1883" w:type="dxa"/>
            <w:tcBorders>
              <w:top w:val="single" w:color="auto" w:sz="4" w:space="0"/>
              <w:left w:val="single" w:color="auto" w:sz="4" w:space="0"/>
              <w:bottom w:val="single" w:color="auto" w:sz="4" w:space="0"/>
              <w:right w:val="single" w:color="auto" w:sz="4" w:space="0"/>
            </w:tcBorders>
            <w:vAlign w:val="center"/>
          </w:tcPr>
          <w:p w14:paraId="2ADD2499">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45</w:t>
            </w:r>
          </w:p>
        </w:tc>
        <w:tc>
          <w:tcPr>
            <w:tcW w:w="1320" w:type="dxa"/>
            <w:tcBorders>
              <w:top w:val="single" w:color="auto" w:sz="4" w:space="0"/>
              <w:left w:val="single" w:color="auto" w:sz="4" w:space="0"/>
              <w:bottom w:val="single" w:color="auto" w:sz="4" w:space="0"/>
              <w:right w:val="single" w:color="auto" w:sz="4" w:space="0"/>
            </w:tcBorders>
            <w:vAlign w:val="center"/>
          </w:tcPr>
          <w:p w14:paraId="60499058">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约束性</w:t>
            </w:r>
          </w:p>
        </w:tc>
      </w:tr>
      <w:tr w14:paraId="2B38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72" w:type="dxa"/>
            <w:tcBorders>
              <w:top w:val="single" w:color="auto" w:sz="4" w:space="0"/>
              <w:left w:val="single" w:color="auto" w:sz="4" w:space="0"/>
              <w:bottom w:val="single" w:color="auto" w:sz="4" w:space="0"/>
              <w:right w:val="single" w:color="auto" w:sz="4" w:space="0"/>
            </w:tcBorders>
            <w:vAlign w:val="center"/>
          </w:tcPr>
          <w:p w14:paraId="441068C8">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2805" w:type="dxa"/>
            <w:tcBorders>
              <w:top w:val="single" w:color="auto" w:sz="4" w:space="0"/>
              <w:left w:val="single" w:color="auto" w:sz="4" w:space="0"/>
              <w:bottom w:val="single" w:color="auto" w:sz="4" w:space="0"/>
              <w:right w:val="single" w:color="auto" w:sz="4" w:space="0"/>
            </w:tcBorders>
            <w:vAlign w:val="center"/>
          </w:tcPr>
          <w:p w14:paraId="32369807">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森林蓄积量</w:t>
            </w:r>
          </w:p>
        </w:tc>
        <w:tc>
          <w:tcPr>
            <w:tcW w:w="1650" w:type="dxa"/>
            <w:tcBorders>
              <w:top w:val="single" w:color="auto" w:sz="4" w:space="0"/>
              <w:left w:val="single" w:color="auto" w:sz="4" w:space="0"/>
              <w:bottom w:val="single" w:color="auto" w:sz="4" w:space="0"/>
              <w:right w:val="single" w:color="auto" w:sz="4" w:space="0"/>
            </w:tcBorders>
            <w:vAlign w:val="center"/>
          </w:tcPr>
          <w:p w14:paraId="7414A6E5">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亿立方米</w:t>
            </w:r>
          </w:p>
        </w:tc>
        <w:tc>
          <w:tcPr>
            <w:tcW w:w="2006" w:type="dxa"/>
            <w:tcBorders>
              <w:top w:val="single" w:color="auto" w:sz="4" w:space="0"/>
              <w:left w:val="single" w:color="auto" w:sz="4" w:space="0"/>
              <w:bottom w:val="single" w:color="auto" w:sz="4" w:space="0"/>
              <w:right w:val="single" w:color="auto" w:sz="4" w:space="0"/>
            </w:tcBorders>
            <w:vAlign w:val="center"/>
          </w:tcPr>
          <w:p w14:paraId="0D899BBF">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94</w:t>
            </w:r>
          </w:p>
        </w:tc>
        <w:tc>
          <w:tcPr>
            <w:tcW w:w="1883" w:type="dxa"/>
            <w:tcBorders>
              <w:top w:val="single" w:color="auto" w:sz="4" w:space="0"/>
              <w:left w:val="single" w:color="auto" w:sz="4" w:space="0"/>
              <w:bottom w:val="single" w:color="auto" w:sz="4" w:space="0"/>
              <w:right w:val="single" w:color="auto" w:sz="4" w:space="0"/>
            </w:tcBorders>
            <w:vAlign w:val="center"/>
          </w:tcPr>
          <w:p w14:paraId="1C7DECF0">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13.8</w:t>
            </w:r>
          </w:p>
        </w:tc>
        <w:tc>
          <w:tcPr>
            <w:tcW w:w="1320" w:type="dxa"/>
            <w:tcBorders>
              <w:top w:val="single" w:color="auto" w:sz="4" w:space="0"/>
              <w:left w:val="single" w:color="auto" w:sz="4" w:space="0"/>
              <w:bottom w:val="single" w:color="auto" w:sz="4" w:space="0"/>
              <w:right w:val="single" w:color="auto" w:sz="4" w:space="0"/>
            </w:tcBorders>
            <w:vAlign w:val="center"/>
          </w:tcPr>
          <w:p w14:paraId="52E7A1E3">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约束性</w:t>
            </w:r>
          </w:p>
        </w:tc>
      </w:tr>
      <w:tr w14:paraId="3B9B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72" w:type="dxa"/>
            <w:tcBorders>
              <w:top w:val="single" w:color="auto" w:sz="4" w:space="0"/>
              <w:left w:val="single" w:color="auto" w:sz="4" w:space="0"/>
              <w:bottom w:val="single" w:color="auto" w:sz="4" w:space="0"/>
              <w:right w:val="single" w:color="auto" w:sz="4" w:space="0"/>
            </w:tcBorders>
            <w:vAlign w:val="center"/>
          </w:tcPr>
          <w:p w14:paraId="08817DD0">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p>
        </w:tc>
        <w:tc>
          <w:tcPr>
            <w:tcW w:w="2805" w:type="dxa"/>
            <w:tcBorders>
              <w:top w:val="single" w:color="auto" w:sz="4" w:space="0"/>
              <w:left w:val="single" w:color="auto" w:sz="4" w:space="0"/>
              <w:bottom w:val="single" w:color="auto" w:sz="4" w:space="0"/>
              <w:right w:val="single" w:color="auto" w:sz="4" w:space="0"/>
            </w:tcBorders>
            <w:vAlign w:val="center"/>
          </w:tcPr>
          <w:p w14:paraId="3C3875E3">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草原综合植被盖度</w:t>
            </w:r>
          </w:p>
        </w:tc>
        <w:tc>
          <w:tcPr>
            <w:tcW w:w="1650" w:type="dxa"/>
            <w:tcBorders>
              <w:top w:val="single" w:color="auto" w:sz="4" w:space="0"/>
              <w:left w:val="single" w:color="auto" w:sz="4" w:space="0"/>
              <w:bottom w:val="single" w:color="auto" w:sz="4" w:space="0"/>
              <w:right w:val="single" w:color="auto" w:sz="4" w:space="0"/>
            </w:tcBorders>
            <w:vAlign w:val="center"/>
          </w:tcPr>
          <w:p w14:paraId="6701891A">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tc>
        <w:tc>
          <w:tcPr>
            <w:tcW w:w="2006" w:type="dxa"/>
            <w:tcBorders>
              <w:top w:val="single" w:color="auto" w:sz="4" w:space="0"/>
              <w:left w:val="single" w:color="auto" w:sz="4" w:space="0"/>
              <w:bottom w:val="single" w:color="auto" w:sz="4" w:space="0"/>
              <w:right w:val="single" w:color="auto" w:sz="4" w:space="0"/>
            </w:tcBorders>
            <w:vAlign w:val="center"/>
          </w:tcPr>
          <w:p w14:paraId="021F6D61">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72.37</w:t>
            </w:r>
          </w:p>
        </w:tc>
        <w:tc>
          <w:tcPr>
            <w:tcW w:w="1883" w:type="dxa"/>
            <w:tcBorders>
              <w:top w:val="single" w:color="auto" w:sz="4" w:space="0"/>
              <w:left w:val="single" w:color="auto" w:sz="4" w:space="0"/>
              <w:bottom w:val="single" w:color="auto" w:sz="4" w:space="0"/>
              <w:right w:val="single" w:color="auto" w:sz="4" w:space="0"/>
            </w:tcBorders>
            <w:vAlign w:val="center"/>
          </w:tcPr>
          <w:p w14:paraId="078517B5">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72.5</w:t>
            </w:r>
          </w:p>
        </w:tc>
        <w:tc>
          <w:tcPr>
            <w:tcW w:w="1320" w:type="dxa"/>
            <w:tcBorders>
              <w:top w:val="single" w:color="auto" w:sz="4" w:space="0"/>
              <w:left w:val="single" w:color="auto" w:sz="4" w:space="0"/>
              <w:bottom w:val="single" w:color="auto" w:sz="4" w:space="0"/>
              <w:right w:val="single" w:color="auto" w:sz="4" w:space="0"/>
            </w:tcBorders>
            <w:vAlign w:val="center"/>
          </w:tcPr>
          <w:p w14:paraId="38F7C4E0">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预期性</w:t>
            </w:r>
          </w:p>
        </w:tc>
      </w:tr>
      <w:tr w14:paraId="23F0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2" w:type="dxa"/>
            <w:tcBorders>
              <w:top w:val="single" w:color="auto" w:sz="4" w:space="0"/>
              <w:left w:val="single" w:color="auto" w:sz="4" w:space="0"/>
              <w:bottom w:val="single" w:color="auto" w:sz="4" w:space="0"/>
              <w:right w:val="single" w:color="auto" w:sz="4" w:space="0"/>
            </w:tcBorders>
            <w:vAlign w:val="center"/>
          </w:tcPr>
          <w:p w14:paraId="53D51B6D">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805" w:type="dxa"/>
            <w:tcBorders>
              <w:top w:val="single" w:color="auto" w:sz="4" w:space="0"/>
              <w:left w:val="single" w:color="auto" w:sz="4" w:space="0"/>
              <w:bottom w:val="single" w:color="auto" w:sz="4" w:space="0"/>
              <w:right w:val="single" w:color="auto" w:sz="4" w:space="0"/>
            </w:tcBorders>
            <w:vAlign w:val="center"/>
          </w:tcPr>
          <w:p w14:paraId="1CFDDADC">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国家公园等自然保护地面积占比</w:t>
            </w:r>
          </w:p>
        </w:tc>
        <w:tc>
          <w:tcPr>
            <w:tcW w:w="1650" w:type="dxa"/>
            <w:tcBorders>
              <w:top w:val="single" w:color="auto" w:sz="4" w:space="0"/>
              <w:left w:val="single" w:color="auto" w:sz="4" w:space="0"/>
              <w:bottom w:val="single" w:color="auto" w:sz="4" w:space="0"/>
              <w:right w:val="single" w:color="auto" w:sz="4" w:space="0"/>
            </w:tcBorders>
            <w:vAlign w:val="center"/>
          </w:tcPr>
          <w:p w14:paraId="18F0E088">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tc>
        <w:tc>
          <w:tcPr>
            <w:tcW w:w="2006" w:type="dxa"/>
            <w:tcBorders>
              <w:top w:val="single" w:color="auto" w:sz="4" w:space="0"/>
              <w:left w:val="single" w:color="auto" w:sz="4" w:space="0"/>
              <w:bottom w:val="single" w:color="auto" w:sz="4" w:space="0"/>
              <w:right w:val="single" w:color="auto" w:sz="4" w:space="0"/>
            </w:tcBorders>
            <w:vAlign w:val="center"/>
          </w:tcPr>
          <w:p w14:paraId="7881E9B6">
            <w:pPr>
              <w:widowControl w:val="0"/>
              <w:spacing w:before="100" w:beforeAutospacing="1" w:after="0" w:line="240" w:lineRule="auto"/>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16.27</w:t>
            </w:r>
          </w:p>
        </w:tc>
        <w:tc>
          <w:tcPr>
            <w:tcW w:w="1883" w:type="dxa"/>
            <w:tcBorders>
              <w:top w:val="single" w:color="auto" w:sz="4" w:space="0"/>
              <w:left w:val="single" w:color="auto" w:sz="4" w:space="0"/>
              <w:bottom w:val="single" w:color="auto" w:sz="4" w:space="0"/>
              <w:right w:val="single" w:color="auto" w:sz="4" w:space="0"/>
            </w:tcBorders>
            <w:vAlign w:val="center"/>
          </w:tcPr>
          <w:p w14:paraId="2456B9CC">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16.27</w:t>
            </w:r>
          </w:p>
        </w:tc>
        <w:tc>
          <w:tcPr>
            <w:tcW w:w="1320" w:type="dxa"/>
            <w:tcBorders>
              <w:top w:val="single" w:color="auto" w:sz="4" w:space="0"/>
              <w:left w:val="single" w:color="auto" w:sz="4" w:space="0"/>
              <w:bottom w:val="single" w:color="auto" w:sz="4" w:space="0"/>
              <w:right w:val="single" w:color="auto" w:sz="4" w:space="0"/>
            </w:tcBorders>
            <w:vAlign w:val="center"/>
          </w:tcPr>
          <w:p w14:paraId="0CE677AC">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预期性</w:t>
            </w:r>
          </w:p>
        </w:tc>
      </w:tr>
      <w:tr w14:paraId="3351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2" w:type="dxa"/>
            <w:tcBorders>
              <w:top w:val="single" w:color="auto" w:sz="4" w:space="0"/>
              <w:left w:val="single" w:color="auto" w:sz="4" w:space="0"/>
              <w:bottom w:val="single" w:color="auto" w:sz="4" w:space="0"/>
              <w:right w:val="single" w:color="auto" w:sz="4" w:space="0"/>
            </w:tcBorders>
            <w:vAlign w:val="center"/>
          </w:tcPr>
          <w:p w14:paraId="69F9DBF0">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p>
        </w:tc>
        <w:tc>
          <w:tcPr>
            <w:tcW w:w="2805" w:type="dxa"/>
            <w:tcBorders>
              <w:top w:val="single" w:color="auto" w:sz="4" w:space="0"/>
              <w:left w:val="single" w:color="auto" w:sz="4" w:space="0"/>
              <w:bottom w:val="single" w:color="auto" w:sz="4" w:space="0"/>
              <w:right w:val="single" w:color="auto" w:sz="4" w:space="0"/>
            </w:tcBorders>
            <w:vAlign w:val="center"/>
          </w:tcPr>
          <w:p w14:paraId="637F62FB">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森林/草原火灾受害率</w:t>
            </w:r>
          </w:p>
        </w:tc>
        <w:tc>
          <w:tcPr>
            <w:tcW w:w="1650" w:type="dxa"/>
            <w:tcBorders>
              <w:top w:val="single" w:color="auto" w:sz="4" w:space="0"/>
              <w:left w:val="single" w:color="auto" w:sz="4" w:space="0"/>
              <w:bottom w:val="single" w:color="auto" w:sz="4" w:space="0"/>
              <w:right w:val="single" w:color="auto" w:sz="4" w:space="0"/>
            </w:tcBorders>
            <w:vAlign w:val="center"/>
          </w:tcPr>
          <w:p w14:paraId="0680946E">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tc>
        <w:tc>
          <w:tcPr>
            <w:tcW w:w="2006" w:type="dxa"/>
            <w:tcBorders>
              <w:top w:val="single" w:color="auto" w:sz="4" w:space="0"/>
              <w:left w:val="single" w:color="auto" w:sz="4" w:space="0"/>
              <w:bottom w:val="single" w:color="auto" w:sz="4" w:space="0"/>
              <w:right w:val="single" w:color="auto" w:sz="4" w:space="0"/>
            </w:tcBorders>
            <w:vAlign w:val="center"/>
          </w:tcPr>
          <w:p w14:paraId="76F138DD">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0.000123/0</w:t>
            </w:r>
          </w:p>
        </w:tc>
        <w:tc>
          <w:tcPr>
            <w:tcW w:w="1883" w:type="dxa"/>
            <w:tcBorders>
              <w:top w:val="single" w:color="auto" w:sz="4" w:space="0"/>
              <w:left w:val="single" w:color="auto" w:sz="4" w:space="0"/>
              <w:bottom w:val="single" w:color="auto" w:sz="4" w:space="0"/>
              <w:right w:val="single" w:color="auto" w:sz="4" w:space="0"/>
            </w:tcBorders>
            <w:vAlign w:val="center"/>
          </w:tcPr>
          <w:p w14:paraId="38CCA6F9">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≤0.1/≤0.3</w:t>
            </w:r>
          </w:p>
        </w:tc>
        <w:tc>
          <w:tcPr>
            <w:tcW w:w="1320" w:type="dxa"/>
            <w:tcBorders>
              <w:top w:val="single" w:color="auto" w:sz="4" w:space="0"/>
              <w:left w:val="single" w:color="auto" w:sz="4" w:space="0"/>
              <w:bottom w:val="single" w:color="auto" w:sz="4" w:space="0"/>
              <w:right w:val="single" w:color="auto" w:sz="4" w:space="0"/>
            </w:tcBorders>
            <w:vAlign w:val="center"/>
          </w:tcPr>
          <w:p w14:paraId="44B3C9C4">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预期性</w:t>
            </w:r>
          </w:p>
        </w:tc>
      </w:tr>
      <w:tr w14:paraId="276C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872" w:type="dxa"/>
            <w:tcBorders>
              <w:top w:val="single" w:color="auto" w:sz="4" w:space="0"/>
              <w:left w:val="single" w:color="auto" w:sz="4" w:space="0"/>
              <w:bottom w:val="single" w:color="auto" w:sz="4" w:space="0"/>
              <w:right w:val="single" w:color="auto" w:sz="4" w:space="0"/>
            </w:tcBorders>
            <w:vAlign w:val="center"/>
          </w:tcPr>
          <w:p w14:paraId="10E17337">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w:t>
            </w:r>
          </w:p>
        </w:tc>
        <w:tc>
          <w:tcPr>
            <w:tcW w:w="2805" w:type="dxa"/>
            <w:tcBorders>
              <w:top w:val="single" w:color="auto" w:sz="4" w:space="0"/>
              <w:left w:val="single" w:color="auto" w:sz="4" w:space="0"/>
              <w:bottom w:val="single" w:color="auto" w:sz="4" w:space="0"/>
              <w:right w:val="single" w:color="auto" w:sz="4" w:space="0"/>
            </w:tcBorders>
            <w:vAlign w:val="center"/>
          </w:tcPr>
          <w:p w14:paraId="6FBCB44D">
            <w:pPr>
              <w:widowControl w:val="0"/>
              <w:spacing w:before="100" w:beforeAutospacing="1" w:after="0" w:line="300" w:lineRule="exact"/>
              <w:ind w:left="0" w:right="0" w:firstLine="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林草产业总产值</w:t>
            </w:r>
          </w:p>
        </w:tc>
        <w:tc>
          <w:tcPr>
            <w:tcW w:w="1650" w:type="dxa"/>
            <w:tcBorders>
              <w:top w:val="single" w:color="auto" w:sz="4" w:space="0"/>
              <w:left w:val="single" w:color="auto" w:sz="4" w:space="0"/>
              <w:bottom w:val="single" w:color="auto" w:sz="4" w:space="0"/>
              <w:right w:val="single" w:color="auto" w:sz="4" w:space="0"/>
            </w:tcBorders>
            <w:vAlign w:val="center"/>
          </w:tcPr>
          <w:p w14:paraId="35666E32">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亿元</w:t>
            </w:r>
          </w:p>
        </w:tc>
        <w:tc>
          <w:tcPr>
            <w:tcW w:w="2006" w:type="dxa"/>
            <w:tcBorders>
              <w:top w:val="single" w:color="auto" w:sz="4" w:space="0"/>
              <w:left w:val="single" w:color="auto" w:sz="4" w:space="0"/>
              <w:bottom w:val="single" w:color="auto" w:sz="4" w:space="0"/>
              <w:right w:val="single" w:color="auto" w:sz="4" w:space="0"/>
            </w:tcBorders>
            <w:vAlign w:val="center"/>
          </w:tcPr>
          <w:p w14:paraId="56C26873">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2366</w:t>
            </w:r>
          </w:p>
        </w:tc>
        <w:tc>
          <w:tcPr>
            <w:tcW w:w="1883" w:type="dxa"/>
            <w:tcBorders>
              <w:top w:val="single" w:color="auto" w:sz="4" w:space="0"/>
              <w:left w:val="single" w:color="auto" w:sz="4" w:space="0"/>
              <w:bottom w:val="single" w:color="auto" w:sz="4" w:space="0"/>
              <w:right w:val="single" w:color="auto" w:sz="4" w:space="0"/>
            </w:tcBorders>
            <w:vAlign w:val="center"/>
          </w:tcPr>
          <w:p w14:paraId="22944F7F">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3250</w:t>
            </w:r>
          </w:p>
        </w:tc>
        <w:tc>
          <w:tcPr>
            <w:tcW w:w="1320" w:type="dxa"/>
            <w:tcBorders>
              <w:top w:val="single" w:color="auto" w:sz="4" w:space="0"/>
              <w:left w:val="single" w:color="auto" w:sz="4" w:space="0"/>
              <w:bottom w:val="single" w:color="auto" w:sz="4" w:space="0"/>
              <w:right w:val="single" w:color="auto" w:sz="4" w:space="0"/>
            </w:tcBorders>
            <w:vAlign w:val="center"/>
          </w:tcPr>
          <w:p w14:paraId="04FDCEB7">
            <w:pPr>
              <w:widowControl w:val="0"/>
              <w:spacing w:before="100" w:beforeAutospacing="1" w:after="0" w:line="300" w:lineRule="exact"/>
              <w:ind w:left="0" w:right="0" w:firstLine="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预期性</w:t>
            </w:r>
          </w:p>
        </w:tc>
      </w:tr>
    </w:tbl>
    <w:p w14:paraId="548A52E3">
      <w:pPr>
        <w:spacing w:after="0" w:line="560" w:lineRule="exact"/>
        <w:ind w:left="0" w:right="0" w:firstLine="632"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（三）基本原则</w:t>
      </w:r>
    </w:p>
    <w:p w14:paraId="648EC9D3">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坚持科学保护</w:t>
      </w:r>
      <w:r>
        <w:rPr>
          <w:rFonts w:hint="eastAsia" w:ascii="仿宋_GB2312" w:hAnsi="仿宋_GB2312" w:eastAsia="仿宋_GB2312" w:cs="仿宋_GB2312"/>
          <w:color w:val="auto"/>
          <w:sz w:val="32"/>
          <w:szCs w:val="32"/>
        </w:rPr>
        <w:t>。严守生态保护红线和林草资源安全底线，聚焦重要山脉、水脉、重要生态功能区、野生动植物和生物多样性保护，强化国土绿化空间功能管控和生态保护红线内外差异化管理，促进生态资源和要素资源科学合理流动、集约高效配置，以高水平保护支撑高质量发展。</w:t>
      </w:r>
    </w:p>
    <w:p w14:paraId="6417EA55">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坚持系统治理</w:t>
      </w:r>
      <w:r>
        <w:rPr>
          <w:rFonts w:hint="eastAsia" w:ascii="仿宋_GB2312" w:hAnsi="仿宋_GB2312" w:eastAsia="仿宋_GB2312" w:cs="仿宋_GB2312"/>
          <w:color w:val="auto"/>
          <w:sz w:val="32"/>
          <w:szCs w:val="32"/>
        </w:rPr>
        <w:t>。统筹山水林田湖草沙一体化保护和系统治理，强化生态区域协同、林草湿要素联动，坚持存量增量并重、数量质量统一，科学精准实施防控和治理措施，科学识别、多措并举、综合施策，自然恢复为主，人工修复相结合，</w:t>
      </w:r>
      <w:bookmarkStart w:id="14" w:name="OLE_LINK28"/>
      <w:r>
        <w:rPr>
          <w:rFonts w:hint="eastAsia" w:ascii="仿宋_GB2312" w:hAnsi="仿宋_GB2312" w:eastAsia="仿宋_GB2312" w:cs="仿宋_GB2312"/>
          <w:color w:val="auto"/>
          <w:sz w:val="32"/>
          <w:szCs w:val="32"/>
        </w:rPr>
        <w:t>整体提升生态修复质量和效益</w:t>
      </w:r>
      <w:bookmarkEnd w:id="14"/>
      <w:r>
        <w:rPr>
          <w:rFonts w:hint="eastAsia" w:ascii="仿宋_GB2312" w:hAnsi="仿宋_GB2312" w:eastAsia="仿宋_GB2312" w:cs="仿宋_GB2312"/>
          <w:color w:val="auto"/>
          <w:sz w:val="32"/>
          <w:szCs w:val="32"/>
        </w:rPr>
        <w:t>，不断筑牢吉林绿色发展根基。</w:t>
      </w:r>
    </w:p>
    <w:p w14:paraId="7D7EC62F">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坚持合理利用</w:t>
      </w:r>
      <w:r>
        <w:rPr>
          <w:rFonts w:hint="eastAsia" w:ascii="仿宋_GB2312" w:hAnsi="仿宋_GB2312" w:eastAsia="仿宋_GB2312" w:cs="仿宋_GB2312"/>
          <w:color w:val="auto"/>
          <w:sz w:val="32"/>
          <w:szCs w:val="32"/>
        </w:rPr>
        <w:t>。</w:t>
      </w:r>
      <w:bookmarkStart w:id="15" w:name="OLE_LINK30"/>
      <w:bookmarkStart w:id="16" w:name="OLE_LINK29"/>
      <w:r>
        <w:rPr>
          <w:rFonts w:hint="eastAsia" w:ascii="仿宋_GB2312" w:hAnsi="仿宋_GB2312" w:eastAsia="仿宋_GB2312" w:cs="仿宋_GB2312"/>
          <w:color w:val="auto"/>
          <w:sz w:val="32"/>
          <w:szCs w:val="32"/>
        </w:rPr>
        <w:t>着眼兴业利民</w:t>
      </w:r>
      <w:bookmarkEnd w:id="15"/>
      <w:bookmarkEnd w:id="16"/>
      <w:r>
        <w:rPr>
          <w:rFonts w:hint="eastAsia" w:ascii="仿宋_GB2312" w:hAnsi="仿宋_GB2312" w:eastAsia="仿宋_GB2312" w:cs="仿宋_GB2312"/>
          <w:color w:val="auto"/>
          <w:sz w:val="32"/>
          <w:szCs w:val="32"/>
        </w:rPr>
        <w:t>，推动“森林四库”更好联动，全面推进森林可持续经营，加快林草资源和空间立体开发、分层经营、复合利用，发挥林草资源多重功能，大力发展林下经济，壮大林草产业，着力打造富民林业，实现青山常在、永续利用。</w:t>
      </w:r>
    </w:p>
    <w:p w14:paraId="04D14678">
      <w:pPr>
        <w:spacing w:after="0" w:line="560" w:lineRule="exact"/>
        <w:ind w:left="0" w:right="0" w:firstLine="632"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（四）发展格局</w:t>
      </w:r>
    </w:p>
    <w:p w14:paraId="35AADD07">
      <w:pPr>
        <w:spacing w:after="0" w:line="560" w:lineRule="exact"/>
        <w:ind w:left="0" w:right="0" w:firstLine="632"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立足我省东中西林草资源地带性分布特点，以主体功能区战略为引领，科学衔接耕地保护规划和国土绿化空间专项规划，优化林草生态布局和生产力布局，构建全域协同、功能互补、系统高效的林草发展新格局。</w:t>
      </w:r>
    </w:p>
    <w:p w14:paraId="0AB033F0">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优化国土绿化空间格局</w:t>
      </w:r>
      <w:r>
        <w:rPr>
          <w:rFonts w:hint="eastAsia" w:ascii="仿宋_GB2312" w:hAnsi="仿宋_GB2312" w:eastAsia="仿宋_GB2312" w:cs="仿宋_GB2312"/>
          <w:color w:val="auto"/>
          <w:sz w:val="32"/>
          <w:szCs w:val="32"/>
        </w:rPr>
        <w:t>。东部以提质为核心，深入实施天然林保育经营和森林质量精准提升，逐步恢复长白山森林植被顶级群落，筑牢长白山森林生态安全屏障。中部以修复为主攻方向，以大黑山、东辽河、伊通河等山系水系以及防护林带建设为重点，科学开展生态修复和国土绿化行动，整体提升生态承载能力，筑牢环长春现代化都市圈协同防护生态屏障。西部以治理为重点，深入实施“三北”、防沙治沙等重点生态工程，强化退化草原修复、退化湿地保护恢复和农田防护林带建设，筑牢松嫩平原防沙治沙生态安全屏障。</w:t>
      </w:r>
    </w:p>
    <w:p w14:paraId="147328AD">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优化林草产业发展布局</w:t>
      </w:r>
      <w:r>
        <w:rPr>
          <w:rFonts w:hint="eastAsia" w:ascii="仿宋_GB2312" w:hAnsi="仿宋_GB2312" w:eastAsia="仿宋_GB2312" w:cs="仿宋_GB2312"/>
          <w:color w:val="auto"/>
          <w:sz w:val="32"/>
          <w:szCs w:val="32"/>
        </w:rPr>
        <w:t>。东部重点发挥资源优势和</w:t>
      </w:r>
      <w:r>
        <w:rPr>
          <w:rFonts w:hint="eastAsia" w:ascii="仿宋_GB2312" w:hAnsi="仿宋_GB2312" w:eastAsia="仿宋_GB2312" w:cs="仿宋_GB2312"/>
          <w:color w:val="auto"/>
          <w:sz w:val="32"/>
          <w:szCs w:val="32"/>
          <w:lang w:val="en-US" w:eastAsia="zh-CN"/>
        </w:rPr>
        <w:t>国家公园等生态</w:t>
      </w:r>
      <w:r>
        <w:rPr>
          <w:rFonts w:hint="eastAsia" w:ascii="仿宋_GB2312" w:hAnsi="仿宋_GB2312" w:eastAsia="仿宋_GB2312" w:cs="仿宋_GB2312"/>
          <w:color w:val="auto"/>
          <w:sz w:val="32"/>
          <w:szCs w:val="32"/>
        </w:rPr>
        <w:t>品牌优势，以发展林下经济、特色经济林、生态旅游、珍贵树种培育等绿色产业为重点，优化拓展森林立体生产空间，着力打造长白山森林“粮仓”和北方道地药材生产基地。中部重点发挥产业集聚和创新资源丰富优势，促进科技创新、产品创新和产业创新深度融合，推动全产业链集群式发展，着力打造现代林草产业示范区。西部重点发挥草原、湿地资源优势和独特风光优势，大力发展特色经济林果、抗旱固沙经济作物、特色种养殖和草产业，加快发展生态旅游和研学教育，擦亮查干湖等“金字招牌”，着力打造林草产业经济新亮点。</w:t>
      </w:r>
    </w:p>
    <w:p w14:paraId="47BCD15F">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优化林草空间差异管控</w:t>
      </w:r>
      <w:r>
        <w:rPr>
          <w:rFonts w:hint="eastAsia" w:ascii="仿宋_GB2312" w:hAnsi="仿宋_GB2312" w:eastAsia="仿宋_GB2312" w:cs="仿宋_GB2312"/>
          <w:color w:val="auto"/>
          <w:sz w:val="32"/>
          <w:szCs w:val="32"/>
        </w:rPr>
        <w:t>。落实主体功能区战略，优化国土空间开发保护格局，统筹划定林草空间、林草补充空间、产业发展等空间，严格落实分级管理、分区管控等政策措施。禁止开发区域严格执行生态红线管控，限制开发区域落实生态优先发展战略，重点开发区域推动生态和产业深度融合发展，优化开发区域强化生态空间提质增效，科学服务高水平保护和高质量发展。</w:t>
      </w:r>
    </w:p>
    <w:p w14:paraId="2E27818A">
      <w:pPr>
        <w:spacing w:after="0" w:line="560" w:lineRule="exact"/>
        <w:ind w:left="0" w:right="0" w:firstLine="632" w:firstLineChars="200"/>
        <w:rPr>
          <w:rFonts w:ascii="黑体" w:hAnsi="黑体" w:eastAsia="黑体"/>
          <w:color w:val="auto"/>
          <w:sz w:val="32"/>
          <w:szCs w:val="32"/>
        </w:rPr>
      </w:pPr>
      <w:r>
        <w:rPr>
          <w:rFonts w:hint="eastAsia" w:ascii="黑体" w:hAnsi="黑体" w:eastAsia="黑体"/>
          <w:color w:val="auto"/>
          <w:sz w:val="32"/>
          <w:szCs w:val="32"/>
        </w:rPr>
        <w:t>三、科学推进国土绿化</w:t>
      </w:r>
    </w:p>
    <w:p w14:paraId="697431EB">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（一）打好“三北”工程攻坚战</w:t>
      </w:r>
      <w:r>
        <w:rPr>
          <w:rFonts w:hint="eastAsia" w:ascii="仿宋_GB2312" w:hAnsi="仿宋_GB2312" w:eastAsia="仿宋_GB2312" w:cs="仿宋_GB2312"/>
          <w:color w:val="auto"/>
          <w:sz w:val="32"/>
          <w:szCs w:val="32"/>
        </w:rPr>
        <w:t>。落实国家“三北”工程总体规划，结合“三北”工程六期规划中期评估成果，科学调整“十五五”期间建设任务，突出系统治理和综合施策，统筹推进“三北”核心攻坚区、协同推进区、巩固拓展区重点生态保护修复工程建设，全面打赢“三北”工程攻坚战。核心攻坚区以防沙治沙为主攻方向，加强西部生态区、嫩江中游退化草原湿地综合治理，持续巩固建设成果，提高防护效能。协同推进区以长白山西麓森林生态保育为重点，积极谋划国家储备林建设项目，持续提高水土保持、水源涵养能力。巩固拓展区以森林生态修复为重点，加强中幼林抚育、退化林修复和低质低效林改造，协同推进防护林体系建设，推动国家储备林建设高质量发展，整体提升森林生态系统功能和稳定性。</w:t>
      </w:r>
    </w:p>
    <w:p w14:paraId="6944D525">
      <w:pPr>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w:t>
      </w:r>
      <w:r>
        <w:rPr>
          <w:rFonts w:ascii="楷体_GB2312" w:hAnsi="楷体_GB2312" w:eastAsia="楷体_GB2312" w:cs="楷体_GB2312"/>
          <w:color w:val="auto"/>
          <w:sz w:val="32"/>
          <w:szCs w:val="32"/>
        </w:rPr>
        <w:t>二</w:t>
      </w:r>
      <w:r>
        <w:rPr>
          <w:rFonts w:hint="eastAsia" w:ascii="楷体_GB2312" w:hAnsi="楷体_GB2312" w:eastAsia="楷体_GB2312" w:cs="楷体_GB2312"/>
          <w:color w:val="auto"/>
          <w:sz w:val="32"/>
          <w:szCs w:val="32"/>
        </w:rPr>
        <w:t>）加快提升森林草原质量</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Cs/>
          <w:color w:val="auto"/>
          <w:sz w:val="32"/>
          <w:szCs w:val="32"/>
        </w:rPr>
        <w:t>坚持“近自然、多功能、全周期”经营理念，科学编制森林经营方案，</w:t>
      </w:r>
      <w:r>
        <w:rPr>
          <w:rFonts w:hint="eastAsia" w:ascii="仿宋_GB2312" w:hAnsi="仿宋_GB2312" w:eastAsia="仿宋_GB2312" w:cs="仿宋_GB2312"/>
          <w:color w:val="auto"/>
          <w:sz w:val="32"/>
          <w:szCs w:val="32"/>
        </w:rPr>
        <w:t>加快推动林草由数量增长向质量提升转变。确定天然林重点保护区域面积，分区分类开展森林可持续经营，科学保护天然林和公益林，合理经营利用商品林，推行符合不同区域、不同森林类型的森林可持续经营模式，加大森林抚育、低质低效林改造、促进森林更新力度，统筹推进森林质量精准提升</w:t>
      </w:r>
      <w:r>
        <w:rPr>
          <w:rFonts w:hint="eastAsia" w:ascii="仿宋_GB2312" w:hAnsi="仿宋_GB2312" w:eastAsia="仿宋_GB2312" w:cs="仿宋_GB2312"/>
          <w:bCs/>
          <w:color w:val="auto"/>
          <w:sz w:val="32"/>
          <w:szCs w:val="32"/>
        </w:rPr>
        <w:t>。突出大长白山生态保护修复，深入实施“双重”工程、长白山森林质量精准提升和红松阔叶混交林顶级群落促进等重点工程，逐步恢复长白山森林植被顶级生态群落。</w:t>
      </w:r>
      <w:bookmarkStart w:id="17" w:name="OLE_LINK1"/>
      <w:r>
        <w:rPr>
          <w:rFonts w:hint="eastAsia" w:ascii="仿宋_GB2312" w:hAnsi="仿宋_GB2312" w:eastAsia="仿宋_GB2312" w:cs="仿宋_GB2312"/>
          <w:bCs/>
          <w:color w:val="auto"/>
          <w:sz w:val="32"/>
          <w:szCs w:val="32"/>
        </w:rPr>
        <w:t>坚持适地适树和针阔混交原则，</w:t>
      </w:r>
      <w:bookmarkStart w:id="18" w:name="OLE_LINK3"/>
      <w:bookmarkStart w:id="19" w:name="OLE_LINK2"/>
      <w:r>
        <w:rPr>
          <w:rFonts w:hint="eastAsia" w:ascii="仿宋_GB2312" w:hAnsi="仿宋_GB2312" w:eastAsia="仿宋_GB2312" w:cs="仿宋_GB2312"/>
          <w:bCs/>
          <w:color w:val="auto"/>
          <w:sz w:val="32"/>
          <w:szCs w:val="32"/>
        </w:rPr>
        <w:t>加强</w:t>
      </w:r>
      <w:r>
        <w:rPr>
          <w:rFonts w:hint="eastAsia" w:ascii="仿宋_GB2312" w:hAnsi="仿宋_GB2312" w:eastAsia="仿宋_GB2312" w:cs="仿宋_GB2312"/>
          <w:color w:val="auto"/>
          <w:sz w:val="32"/>
          <w:szCs w:val="32"/>
        </w:rPr>
        <w:t>人工樟子松低质低效林改造</w:t>
      </w:r>
      <w:bookmarkEnd w:id="17"/>
      <w:bookmarkEnd w:id="18"/>
      <w:bookmarkEnd w:id="19"/>
      <w:r>
        <w:rPr>
          <w:rFonts w:hint="eastAsia" w:ascii="仿宋_GB2312" w:hAnsi="仿宋_GB2312" w:eastAsia="仿宋_GB2312" w:cs="仿宋_GB2312"/>
          <w:color w:val="auto"/>
          <w:sz w:val="32"/>
          <w:szCs w:val="32"/>
        </w:rPr>
        <w:t>，提升森林质量，恢复生态系统功能</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加强草原围栏封育、退化草原补播改良、毒害草治理等，加快中重度退化草原植被恢复，提升草原质量和生产力。</w:t>
      </w:r>
    </w:p>
    <w:p w14:paraId="2153CA0F">
      <w:pPr>
        <w:spacing w:after="0" w:line="560" w:lineRule="exact"/>
        <w:ind w:left="0" w:right="0" w:firstLine="632" w:firstLineChars="200"/>
        <w:rPr>
          <w:rFonts w:ascii="仿宋" w:hAnsi="仿宋" w:eastAsia="仿宋"/>
          <w:color w:val="auto"/>
          <w:sz w:val="32"/>
          <w:szCs w:val="32"/>
        </w:rPr>
      </w:pPr>
      <w:r>
        <w:rPr>
          <w:rFonts w:hint="eastAsia" w:ascii="楷体_GB2312" w:hAnsi="楷体_GB2312" w:eastAsia="楷体_GB2312" w:cs="楷体_GB2312"/>
          <w:color w:val="auto"/>
          <w:sz w:val="32"/>
          <w:szCs w:val="32"/>
        </w:rPr>
        <w:t>（</w:t>
      </w:r>
      <w:r>
        <w:rPr>
          <w:rFonts w:ascii="楷体_GB2312" w:hAnsi="楷体_GB2312" w:eastAsia="楷体_GB2312" w:cs="楷体_GB2312"/>
          <w:color w:val="auto"/>
          <w:sz w:val="32"/>
          <w:szCs w:val="32"/>
        </w:rPr>
        <w:t>三</w:t>
      </w:r>
      <w:r>
        <w:rPr>
          <w:rFonts w:hint="eastAsia" w:ascii="楷体_GB2312" w:hAnsi="楷体_GB2312" w:eastAsia="楷体_GB2312" w:cs="楷体_GB2312"/>
          <w:color w:val="auto"/>
          <w:sz w:val="32"/>
          <w:szCs w:val="32"/>
        </w:rPr>
        <w:t>）全力</w:t>
      </w:r>
      <w:r>
        <w:rPr>
          <w:rFonts w:hint="eastAsia" w:ascii="楷体_GB2312" w:hAnsi="楷体_GB2312" w:eastAsia="楷体_GB2312" w:cs="楷体_GB2312"/>
          <w:bCs/>
          <w:color w:val="auto"/>
          <w:sz w:val="32"/>
          <w:szCs w:val="32"/>
        </w:rPr>
        <w:t>推进美丽吉林建设</w:t>
      </w:r>
      <w:r>
        <w:rPr>
          <w:rFonts w:hint="eastAsia" w:ascii="仿宋_GB2312" w:hAnsi="仿宋_GB2312" w:eastAsia="仿宋_GB2312" w:cs="仿宋_GB2312"/>
          <w:bCs/>
          <w:color w:val="auto"/>
          <w:sz w:val="32"/>
          <w:szCs w:val="32"/>
        </w:rPr>
        <w:t>。</w:t>
      </w:r>
      <w:bookmarkStart w:id="20" w:name="OLE_LINK6"/>
      <w:bookmarkStart w:id="21" w:name="OLE_LINK5"/>
      <w:r>
        <w:rPr>
          <w:rFonts w:hint="eastAsia" w:ascii="仿宋_GB2312" w:hAnsi="仿宋_GB2312" w:eastAsia="仿宋_GB2312" w:cs="仿宋_GB2312"/>
          <w:bCs/>
          <w:color w:val="auto"/>
          <w:sz w:val="32"/>
          <w:szCs w:val="32"/>
        </w:rPr>
        <w:t>坚持</w:t>
      </w:r>
      <w:r>
        <w:rPr>
          <w:rFonts w:hint="eastAsia" w:ascii="仿宋_GB2312" w:hAnsi="仿宋_GB2312" w:eastAsia="仿宋_GB2312" w:cs="仿宋_GB2312"/>
          <w:color w:val="auto"/>
          <w:sz w:val="32"/>
          <w:szCs w:val="32"/>
        </w:rPr>
        <w:t>科学、节俭绿化</w:t>
      </w:r>
      <w:bookmarkEnd w:id="20"/>
      <w:bookmarkEnd w:id="21"/>
      <w:r>
        <w:rPr>
          <w:rFonts w:hint="eastAsia" w:ascii="仿宋_GB2312" w:hAnsi="仿宋_GB2312" w:eastAsia="仿宋_GB2312" w:cs="仿宋_GB2312"/>
          <w:color w:val="auto"/>
          <w:sz w:val="32"/>
          <w:szCs w:val="32"/>
        </w:rPr>
        <w:t>，创新义务植树尽责形式和参与路径，建立健全管护长效机制，推进第三个十年绿美吉林行动向纵深开展。科学规划、精准施策，深挖绿化空间，统筹推进城乡绿化一体化建设。强化部门协同联动，压实行业绿化责任，推动绿化工作与城乡建设、交通发展、水利工程等深度融合。健全全民绿化参与机制，推广“互联网+义务植树”“认种认养”“捐资造林”等模式。搭建多元化合作平台，鼓励企业、社会组织、志愿者等参与生态修复、古树名木保护、生态管护等工作。</w:t>
      </w:r>
      <w:bookmarkStart w:id="22" w:name="OLE_LINK31"/>
      <w:r>
        <w:rPr>
          <w:rFonts w:hint="eastAsia" w:ascii="仿宋_GB2312" w:hAnsi="仿宋_GB2312" w:eastAsia="仿宋_GB2312" w:cs="仿宋_GB2312"/>
          <w:color w:val="auto"/>
          <w:sz w:val="32"/>
          <w:szCs w:val="32"/>
        </w:rPr>
        <w:t>加强生态文化宣传教育，大力弘扬生态文明理念，</w:t>
      </w:r>
      <w:bookmarkEnd w:id="22"/>
      <w:r>
        <w:rPr>
          <w:rFonts w:hint="eastAsia" w:ascii="仿宋_GB2312" w:hAnsi="仿宋_GB2312" w:eastAsia="仿宋_GB2312" w:cs="仿宋_GB2312"/>
          <w:color w:val="auto"/>
          <w:sz w:val="32"/>
          <w:szCs w:val="32"/>
        </w:rPr>
        <w:t>形成“共建共享”国土绿化新格局。</w:t>
      </w:r>
    </w:p>
    <w:p w14:paraId="0D2123BF">
      <w:pPr>
        <w:spacing w:after="0" w:line="560" w:lineRule="exact"/>
        <w:ind w:left="0" w:right="0" w:firstLine="632" w:firstLineChars="200"/>
        <w:rPr>
          <w:rFonts w:ascii="仿宋" w:hAnsi="仿宋" w:eastAsia="仿宋"/>
          <w:color w:val="auto"/>
          <w:sz w:val="32"/>
          <w:szCs w:val="32"/>
        </w:rPr>
      </w:pPr>
      <w:r>
        <w:rPr>
          <w:rFonts w:hint="eastAsia" w:ascii="楷体_GB2312" w:hAnsi="楷体_GB2312" w:eastAsia="楷体_GB2312" w:cs="楷体_GB2312"/>
          <w:color w:val="auto"/>
          <w:sz w:val="32"/>
          <w:szCs w:val="32"/>
        </w:rPr>
        <w:t>（</w:t>
      </w:r>
      <w:r>
        <w:rPr>
          <w:rFonts w:ascii="楷体_GB2312" w:hAnsi="楷体_GB2312" w:eastAsia="楷体_GB2312" w:cs="楷体_GB2312"/>
          <w:color w:val="auto"/>
          <w:sz w:val="32"/>
          <w:szCs w:val="32"/>
        </w:rPr>
        <w:t>四</w:t>
      </w:r>
      <w:r>
        <w:rPr>
          <w:rFonts w:hint="eastAsia" w:ascii="楷体_GB2312" w:hAnsi="楷体_GB2312" w:eastAsia="楷体_GB2312" w:cs="楷体_GB2312"/>
          <w:color w:val="auto"/>
          <w:sz w:val="32"/>
          <w:szCs w:val="32"/>
        </w:rPr>
        <w:t>）全面加强古树名木保护</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Cs/>
          <w:color w:val="auto"/>
          <w:sz w:val="32"/>
          <w:szCs w:val="32"/>
        </w:rPr>
        <w:t>启动新一轮古树名木资源普查，</w:t>
      </w:r>
      <w:r>
        <w:rPr>
          <w:rFonts w:hint="eastAsia" w:ascii="仿宋_GB2312" w:hAnsi="仿宋_GB2312" w:eastAsia="仿宋_GB2312" w:cs="仿宋_GB2312"/>
          <w:color w:val="auto"/>
          <w:sz w:val="32"/>
          <w:szCs w:val="32"/>
        </w:rPr>
        <w:t>建立古树名木数据库，实现全省古树名木建档率100%。</w:t>
      </w:r>
      <w:bookmarkStart w:id="23" w:name="OLE_LINK10"/>
      <w:bookmarkStart w:id="24" w:name="OLE_LINK9"/>
      <w:bookmarkStart w:id="25" w:name="OLE_LINK8"/>
      <w:bookmarkStart w:id="26" w:name="OLE_LINK7"/>
      <w:r>
        <w:rPr>
          <w:rFonts w:hint="eastAsia" w:ascii="仿宋_GB2312" w:hAnsi="仿宋_GB2312" w:eastAsia="仿宋_GB2312" w:cs="仿宋_GB2312"/>
          <w:bCs/>
          <w:color w:val="auto"/>
          <w:sz w:val="32"/>
          <w:szCs w:val="32"/>
        </w:rPr>
        <w:t>加强《吉林省古树名木保护条例》</w:t>
      </w:r>
      <w:bookmarkEnd w:id="23"/>
      <w:bookmarkEnd w:id="24"/>
      <w:r>
        <w:rPr>
          <w:rFonts w:hint="eastAsia" w:ascii="仿宋_GB2312" w:hAnsi="仿宋_GB2312" w:eastAsia="仿宋_GB2312" w:cs="仿宋_GB2312"/>
          <w:bCs/>
          <w:color w:val="auto"/>
          <w:sz w:val="32"/>
          <w:szCs w:val="32"/>
        </w:rPr>
        <w:t>贯彻落实，</w:t>
      </w:r>
      <w:r>
        <w:rPr>
          <w:rFonts w:hint="eastAsia" w:ascii="仿宋_GB2312" w:hAnsi="仿宋_GB2312" w:eastAsia="仿宋_GB2312" w:cs="仿宋_GB2312"/>
          <w:color w:val="auto"/>
          <w:sz w:val="32"/>
          <w:szCs w:val="32"/>
        </w:rPr>
        <w:t>探索建立政府主导、属地管理、原地保护、科学管护的保护管理机制。</w:t>
      </w:r>
      <w:r>
        <w:rPr>
          <w:rFonts w:hint="eastAsia" w:ascii="仿宋_GB2312" w:hAnsi="仿宋_GB2312" w:eastAsia="仿宋_GB2312" w:cs="仿宋_GB2312"/>
          <w:bCs/>
          <w:color w:val="auto"/>
          <w:sz w:val="32"/>
          <w:szCs w:val="32"/>
        </w:rPr>
        <w:t>开展古树名木认捐认养活动，提高古树名木保护的公众参与度。加强古树名木后备资源</w:t>
      </w:r>
      <w:bookmarkEnd w:id="25"/>
      <w:bookmarkEnd w:id="26"/>
      <w:r>
        <w:rPr>
          <w:rFonts w:hint="eastAsia" w:ascii="仿宋_GB2312" w:hAnsi="仿宋_GB2312" w:eastAsia="仿宋_GB2312" w:cs="仿宋_GB2312"/>
          <w:bCs/>
          <w:color w:val="auto"/>
          <w:sz w:val="32"/>
          <w:szCs w:val="32"/>
        </w:rPr>
        <w:t>保护管理，</w:t>
      </w:r>
      <w:r>
        <w:rPr>
          <w:rFonts w:hint="eastAsia" w:ascii="仿宋_GB2312" w:hAnsi="仿宋_GB2312" w:eastAsia="仿宋_GB2312" w:cs="仿宋_GB2312"/>
          <w:color w:val="auto"/>
          <w:sz w:val="32"/>
          <w:szCs w:val="32"/>
        </w:rPr>
        <w:t>确保古树资源可持续发展。</w:t>
      </w:r>
      <w:r>
        <w:rPr>
          <w:rFonts w:hint="eastAsia" w:ascii="仿宋_GB2312" w:hAnsi="仿宋_GB2312" w:eastAsia="仿宋_GB2312" w:cs="仿宋_GB2312"/>
          <w:bCs/>
          <w:color w:val="auto"/>
          <w:sz w:val="32"/>
          <w:szCs w:val="32"/>
        </w:rPr>
        <w:t>推进古树名木保护行动，</w:t>
      </w:r>
      <w:r>
        <w:rPr>
          <w:rFonts w:hint="eastAsia" w:ascii="仿宋_GB2312" w:hAnsi="仿宋_GB2312" w:eastAsia="仿宋_GB2312" w:cs="仿宋_GB2312"/>
          <w:color w:val="auto"/>
          <w:sz w:val="32"/>
          <w:szCs w:val="32"/>
        </w:rPr>
        <w:t>加强古树名木科普宣传，着力实施挂牌保护、抢救复壮、古树群保护、创新文旅融合等重点工程，打造吉林省古树名木靓丽名片。</w:t>
      </w:r>
    </w:p>
    <w:p w14:paraId="2BE342F7">
      <w:pPr>
        <w:spacing w:after="0" w:line="560" w:lineRule="exact"/>
        <w:ind w:left="0" w:right="0" w:firstLine="632" w:firstLineChars="200"/>
        <w:rPr>
          <w:rFonts w:ascii="仿宋" w:hAnsi="仿宋" w:eastAsia="仿宋"/>
          <w:color w:val="auto"/>
          <w:sz w:val="32"/>
          <w:szCs w:val="32"/>
        </w:rPr>
      </w:pPr>
      <w:r>
        <w:rPr>
          <w:rFonts w:hint="eastAsia" w:ascii="楷体_GB2312" w:hAnsi="楷体_GB2312" w:eastAsia="楷体_GB2312" w:cs="楷体_GB2312"/>
          <w:bCs/>
          <w:color w:val="auto"/>
          <w:sz w:val="32"/>
          <w:szCs w:val="32"/>
        </w:rPr>
        <w:t>（</w:t>
      </w:r>
      <w:r>
        <w:rPr>
          <w:rFonts w:ascii="楷体_GB2312" w:hAnsi="楷体_GB2312" w:eastAsia="楷体_GB2312" w:cs="楷体_GB2312"/>
          <w:bCs/>
          <w:color w:val="auto"/>
          <w:sz w:val="32"/>
          <w:szCs w:val="32"/>
        </w:rPr>
        <w:t>五</w:t>
      </w:r>
      <w:r>
        <w:rPr>
          <w:rFonts w:hint="eastAsia" w:ascii="楷体_GB2312" w:hAnsi="楷体_GB2312" w:eastAsia="楷体_GB2312" w:cs="楷体_GB2312"/>
          <w:bCs/>
          <w:color w:val="auto"/>
          <w:sz w:val="32"/>
          <w:szCs w:val="32"/>
        </w:rPr>
        <w:t>）夯实林草种苗基础</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在全省林草种质资源普查成果基础上，开展珍稀、濒危、特色乡土树草种专项调查和收集，建立省级林草种质资源数据库，构建完善的林草种质资源保存体系。建设省级林草种质资源鉴定评价中心，构建涵盖遗传价值、生态价值的多性状综合评价体系。优化林草种质资源库（圃）基础设施条件，科学调整省级林木良种基地、林草种质资源库空间布局，加强种苗培育示范基地、现代化大中型种苗基地、优良草种繁育和草种基地建设，努力培育具有自主知识产权、高产优质、抗逆性强的林草品种。构建育苗造林有机衔接的生产供应机制，健全种苗监管与服务体系，严格落实作业设计前置审核制度，构建“来源可查、去向可追、责任可究”的全流程质量管理机制。</w:t>
      </w:r>
    </w:p>
    <w:p w14:paraId="4FD8C330">
      <w:pPr>
        <w:spacing w:after="0" w:line="560" w:lineRule="exact"/>
        <w:ind w:left="0" w:right="0" w:firstLine="632" w:firstLineChars="200"/>
        <w:rPr>
          <w:rFonts w:ascii="黑体" w:hAnsi="黑体" w:eastAsia="黑体"/>
          <w:color w:val="auto"/>
          <w:sz w:val="32"/>
          <w:szCs w:val="32"/>
        </w:rPr>
      </w:pPr>
      <w:r>
        <w:rPr>
          <w:rFonts w:hint="eastAsia" w:ascii="黑体" w:hAnsi="黑体" w:eastAsia="黑体"/>
          <w:color w:val="auto"/>
          <w:sz w:val="32"/>
          <w:szCs w:val="32"/>
        </w:rPr>
        <w:t>四、加快构建具有吉林特色的自然保护地体系</w:t>
      </w:r>
    </w:p>
    <w:p w14:paraId="22D3A52B">
      <w:pPr>
        <w:spacing w:after="0" w:line="560" w:lineRule="exact"/>
        <w:ind w:left="0" w:right="0" w:firstLine="632" w:firstLineChars="200"/>
        <w:rPr>
          <w:rFonts w:ascii="仿宋" w:hAnsi="仿宋" w:eastAsia="仿宋"/>
          <w:color w:val="auto"/>
          <w:sz w:val="32"/>
          <w:szCs w:val="32"/>
        </w:rPr>
      </w:pPr>
      <w:r>
        <w:rPr>
          <w:rFonts w:hint="eastAsia" w:ascii="楷体_GB2312" w:hAnsi="楷体_GB2312" w:eastAsia="楷体_GB2312" w:cs="楷体_GB2312"/>
          <w:color w:val="auto"/>
          <w:sz w:val="32"/>
          <w:szCs w:val="32"/>
        </w:rPr>
        <w:t>（一）高质量建设国家公园</w:t>
      </w:r>
      <w:r>
        <w:rPr>
          <w:rFonts w:hint="eastAsia" w:ascii="仿宋_GB2312" w:hAnsi="仿宋_GB2312" w:eastAsia="仿宋_GB2312" w:cs="仿宋_GB2312"/>
          <w:color w:val="auto"/>
          <w:sz w:val="32"/>
          <w:szCs w:val="32"/>
        </w:rPr>
        <w:t>。</w:t>
      </w:r>
      <w:bookmarkStart w:id="27" w:name="OLE_LINK13"/>
      <w:bookmarkStart w:id="28" w:name="OLE_LINK14"/>
      <w:bookmarkStart w:id="29" w:name="OLE_LINK33"/>
      <w:bookmarkStart w:id="30" w:name="OLE_LINK34"/>
      <w:r>
        <w:rPr>
          <w:rFonts w:hint="eastAsia" w:ascii="仿宋_GB2312" w:hAnsi="仿宋_GB2312" w:eastAsia="仿宋_GB2312" w:cs="仿宋_GB2312"/>
          <w:bCs/>
          <w:color w:val="auto"/>
          <w:sz w:val="32"/>
          <w:szCs w:val="32"/>
        </w:rPr>
        <w:t>做好《国家公园法》</w:t>
      </w:r>
      <w:bookmarkEnd w:id="27"/>
      <w:bookmarkEnd w:id="28"/>
      <w:bookmarkEnd w:id="29"/>
      <w:bookmarkEnd w:id="30"/>
      <w:r>
        <w:rPr>
          <w:rFonts w:hint="eastAsia" w:ascii="仿宋_GB2312" w:hAnsi="仿宋_GB2312" w:eastAsia="仿宋_GB2312" w:cs="仿宋_GB2312"/>
          <w:bCs/>
          <w:color w:val="auto"/>
          <w:sz w:val="32"/>
          <w:szCs w:val="32"/>
        </w:rPr>
        <w:t>的宣传贯彻落实工作</w:t>
      </w:r>
      <w:r>
        <w:rPr>
          <w:rFonts w:hint="eastAsia" w:ascii="仿宋_GB2312" w:hAnsi="仿宋_GB2312" w:eastAsia="仿宋_GB2312" w:cs="仿宋_GB2312"/>
          <w:color w:val="auto"/>
          <w:sz w:val="32"/>
          <w:szCs w:val="32"/>
        </w:rPr>
        <w:t>。深化东北虎豹国家公园协同共建，全力做好规划实施、民生改善等重点工作，深化信息共享、联合巡护执法、科研监测等合作，形成局省共建工作合力。</w:t>
      </w:r>
      <w:r>
        <w:rPr>
          <w:rFonts w:hint="eastAsia" w:ascii="仿宋_GB2312" w:hAnsi="仿宋_GB2312" w:eastAsia="仿宋_GB2312" w:cs="仿宋_GB2312"/>
          <w:sz w:val="32"/>
          <w:szCs w:val="32"/>
        </w:rPr>
        <w:t>积极做好长白山、松嫩鹤乡等国家公园设立前期工作，启动国家公园设立前的基础调查、范围分区论证等工作</w:t>
      </w:r>
      <w:r>
        <w:rPr>
          <w:rFonts w:hint="eastAsia" w:ascii="仿宋_GB2312" w:hAnsi="仿宋_GB2312" w:eastAsia="仿宋_GB2312" w:cs="仿宋_GB2312"/>
          <w:color w:val="auto"/>
          <w:sz w:val="32"/>
          <w:szCs w:val="32"/>
        </w:rPr>
        <w:t>，加快打造“东有虎豹、西有白鹤”的国家公园建设格局。</w:t>
      </w:r>
    </w:p>
    <w:p w14:paraId="02EFC226">
      <w:pPr>
        <w:spacing w:after="0" w:line="560" w:lineRule="exact"/>
        <w:ind w:left="0" w:right="0" w:firstLine="632" w:firstLineChars="200"/>
        <w:rPr>
          <w:rFonts w:ascii="仿宋" w:hAnsi="仿宋" w:eastAsia="仿宋"/>
          <w:bCs/>
          <w:color w:val="auto"/>
          <w:sz w:val="32"/>
          <w:szCs w:val="32"/>
        </w:rPr>
      </w:pPr>
      <w:r>
        <w:rPr>
          <w:rFonts w:hint="eastAsia" w:ascii="楷体_GB2312" w:hAnsi="楷体_GB2312" w:eastAsia="楷体_GB2312" w:cs="楷体_GB2312"/>
          <w:color w:val="auto"/>
          <w:sz w:val="32"/>
          <w:szCs w:val="32"/>
        </w:rPr>
        <w:t>（二）加快自然保护地体系建设</w:t>
      </w:r>
      <w:r>
        <w:rPr>
          <w:rFonts w:hint="eastAsia" w:ascii="仿宋_GB2312" w:hAnsi="仿宋_GB2312" w:eastAsia="仿宋_GB2312" w:cs="仿宋_GB2312"/>
          <w:color w:val="auto"/>
          <w:sz w:val="32"/>
          <w:szCs w:val="32"/>
        </w:rPr>
        <w:t>。贯彻落实《自然保护区条例》《风景名胜区条例》《国家级自然公园管理办法（试行）》，适时启动省级条例修订，全面加强自然保护地法治化建设。完成自然保护地整合优化成果落地，开展勘界定标，不断完善自然保护地布局。推进长白山国家级自然保护区与长白山世界地质公园协同保护发展。健全统一规范管理体制，加强管理机构能力建设。推进自然保护地规划编制和修编，加强保护管理管护设施、基础设施建设，开展保护管理规范提升、生态保护修复、监测监管智慧感知、研学教育等项目建设，切实提升保护管理水平。</w:t>
      </w:r>
    </w:p>
    <w:p w14:paraId="2E560E83">
      <w:pPr>
        <w:spacing w:after="0" w:line="560" w:lineRule="exact"/>
        <w:ind w:left="0" w:right="0" w:firstLine="632" w:firstLineChars="200"/>
        <w:rPr>
          <w:rFonts w:ascii="仿宋_GB2312" w:hAnsi="仿宋_GB2312" w:eastAsia="仿宋_GB2312" w:cs="仿宋_GB2312"/>
          <w:bCs/>
          <w:color w:val="auto"/>
          <w:sz w:val="32"/>
          <w:szCs w:val="32"/>
        </w:rPr>
      </w:pPr>
      <w:r>
        <w:rPr>
          <w:rFonts w:hint="eastAsia" w:ascii="楷体_GB2312" w:hAnsi="楷体_GB2312" w:eastAsia="楷体_GB2312" w:cs="楷体_GB2312"/>
          <w:color w:val="auto"/>
          <w:sz w:val="32"/>
          <w:szCs w:val="32"/>
        </w:rPr>
        <w:t>（三）加强野生动植物保护</w:t>
      </w:r>
      <w:r>
        <w:rPr>
          <w:rFonts w:hint="eastAsia" w:ascii="仿宋_GB2312" w:hAnsi="仿宋_GB2312" w:eastAsia="仿宋_GB2312" w:cs="仿宋_GB2312"/>
          <w:color w:val="auto"/>
          <w:sz w:val="32"/>
          <w:szCs w:val="32"/>
        </w:rPr>
        <w:t>。持续加强东北虎、东北豹、丹顶鹤、大鸨、中华秋沙鸭等珍稀濒危物种保护，推进保护站点和生态廊道建设</w:t>
      </w:r>
      <w:r>
        <w:rPr>
          <w:rFonts w:hint="eastAsia" w:ascii="仿宋_GB2312" w:hAnsi="仿宋_GB2312" w:eastAsia="仿宋_GB2312" w:cs="仿宋_GB2312"/>
          <w:bCs/>
          <w:color w:val="auto"/>
          <w:sz w:val="32"/>
          <w:szCs w:val="32"/>
        </w:rPr>
        <w:t>，连通破碎化栖息地，扩大适宜栖息范围，确保珍稀濒危物种数量呈增长趋势。加强野外种群监测调查能力提升和重要鸟类迁飞通道保护监测设施建设，持续开展保护鸟类活动和打击非法猎捕贩卖鸟类专项行动，加大巡山清套力度，坚决打击滥捕滥猎和非法交易野生动植物行为。推进国家级陆生野生动物疫源疫病监测标准站建设和省级疫源疫病初检实验室建设，加强野生动物疫病主动监测预警。加强野生动物救护站建设和虎等陆生野生动物人工繁育活动管理，深化科研合作，提升收容救护、野化放归、人工繁育专业化水平。持续开展东北红豆杉、对开蕨、玫瑰原生境保护站点建设，逐步建立兰科、石松科植物原生境保护点，不断扩大原生境保护和恢复面积。</w:t>
      </w:r>
    </w:p>
    <w:p w14:paraId="6A4CE0E7">
      <w:pPr>
        <w:spacing w:after="0" w:line="560" w:lineRule="exact"/>
        <w:ind w:left="0" w:right="0" w:firstLine="632" w:firstLineChars="200"/>
        <w:rPr>
          <w:rFonts w:ascii="仿宋" w:hAnsi="仿宋" w:eastAsia="仿宋"/>
          <w:bCs/>
          <w:color w:val="auto"/>
          <w:sz w:val="32"/>
          <w:szCs w:val="32"/>
        </w:rPr>
      </w:pPr>
      <w:r>
        <w:rPr>
          <w:rFonts w:hint="eastAsia" w:ascii="楷体_GB2312" w:hAnsi="楷体_GB2312" w:eastAsia="楷体_GB2312" w:cs="楷体_GB2312"/>
          <w:color w:val="auto"/>
          <w:sz w:val="32"/>
          <w:szCs w:val="32"/>
        </w:rPr>
        <w:t>（四）全面加强湿地保护</w:t>
      </w:r>
      <w:r>
        <w:rPr>
          <w:rFonts w:hint="eastAsia" w:ascii="仿宋_GB2312" w:hAnsi="仿宋_GB2312" w:eastAsia="仿宋_GB2312" w:cs="仿宋_GB2312"/>
          <w:color w:val="auto"/>
          <w:sz w:val="32"/>
          <w:szCs w:val="32"/>
        </w:rPr>
        <w:t>。积极推进省级重要湿地晋升国家重要湿地相关工作</w:t>
      </w:r>
      <w:r>
        <w:rPr>
          <w:rFonts w:hint="eastAsia" w:ascii="仿宋_GB2312" w:hAnsi="仿宋_GB2312" w:eastAsia="仿宋_GB2312" w:cs="仿宋_GB2312"/>
          <w:bCs/>
          <w:color w:val="auto"/>
          <w:sz w:val="32"/>
          <w:szCs w:val="32"/>
        </w:rPr>
        <w:t>，分批次发布和更新省级重要湿地名录。加强湿地监测监管，建立湿地资源“一张图”及基础数据库，构建省级湿地生态监测体系。加强巡护管理，完善保护、宣教研学、科研监测设施设备，实施重要湿地保护修复，提升湿地功能和稳定性。</w:t>
      </w:r>
    </w:p>
    <w:p w14:paraId="20D46165">
      <w:pPr>
        <w:autoSpaceDE w:val="0"/>
        <w:spacing w:line="560" w:lineRule="exact"/>
        <w:ind w:firstLine="632" w:firstLineChars="200"/>
        <w:rPr>
          <w:rFonts w:ascii="黑体" w:hAnsi="黑体" w:eastAsia="黑体" w:cs="Times New Roman"/>
          <w:color w:val="auto"/>
          <w:sz w:val="32"/>
          <w:szCs w:val="32"/>
        </w:rPr>
      </w:pPr>
      <w:r>
        <w:rPr>
          <w:rFonts w:hint="eastAsia" w:ascii="黑体" w:hAnsi="黑体" w:eastAsia="黑体" w:cs="Times New Roman"/>
          <w:color w:val="auto"/>
          <w:sz w:val="32"/>
          <w:szCs w:val="32"/>
        </w:rPr>
        <w:t>五、培育壮大林草产业</w:t>
      </w:r>
    </w:p>
    <w:p w14:paraId="436BEE47">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color w:val="auto"/>
          <w:sz w:val="32"/>
          <w:szCs w:val="32"/>
        </w:rPr>
        <w:t>（一）加快林下经济高质量发展</w:t>
      </w:r>
      <w:r>
        <w:rPr>
          <w:rFonts w:hint="eastAsia" w:ascii="仿宋_GB2312" w:hAnsi="仿宋_GB2312" w:eastAsia="仿宋_GB2312" w:cs="仿宋_GB2312"/>
          <w:color w:val="auto"/>
          <w:sz w:val="32"/>
          <w:szCs w:val="32"/>
        </w:rPr>
        <w:t>。推广林药、林果、林菌、林菜、林禽、林畜、林蜂等复合立体经营模式，建设一批规模适度、标准规范、特色鲜明的林下种养殖基地，推动林下经济规模化、集约化、品牌化发展。深化“吉字号”林特产品品牌培育与推广，扩大长白山林下参、红松籽、蓝莓、黑木耳、林蛙、关黄柏等优势产品生产规模，强化关键技术推广应用，提升质量管控能力，增强市场核心竞争力。推进“森林四库”联动，支持各类林业经营主体优化林地资源配置，调整树种与品种结构，大力发展红松果材兼用林等高价值森林。依托科尔沁草原、沙地、湿地独特资源禀赋，在严格保护生态植被、推进生态修复的前提下，因地制宜发展沙地药材、碱地经济植物、优质牧草种植及湿地养殖等产业，推动生态保护与富民增收有机结合。</w:t>
      </w:r>
    </w:p>
    <w:p w14:paraId="14045570">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（二）做大做强林产品精深加工</w:t>
      </w:r>
      <w:r>
        <w:rPr>
          <w:rFonts w:hint="eastAsia" w:ascii="仿宋_GB2312" w:hAnsi="仿宋_GB2312" w:eastAsia="仿宋_GB2312" w:cs="仿宋_GB2312"/>
          <w:color w:val="auto"/>
          <w:sz w:val="32"/>
          <w:szCs w:val="32"/>
        </w:rPr>
        <w:t>。紧扣新型工业化发展方向，以绿色低碳转型为核心，引导人造板、家具制造等企业实施技术设备迭代升级，推广清洁生产工艺与节能降耗技术，推动传统木材加工产业向高端化、智能化、绿色化转型</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聚焦道地中药材、绿色食品饮品、健康保健品等重点领域</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加强林草产品全链条开发利用</w:t>
      </w:r>
      <w:r>
        <w:rPr>
          <w:rFonts w:hint="eastAsia" w:ascii="仿宋_GB2312" w:hAnsi="仿宋_GB2312" w:eastAsia="仿宋_GB2312" w:cs="仿宋_GB2312"/>
          <w:bCs/>
          <w:color w:val="auto"/>
          <w:sz w:val="32"/>
          <w:szCs w:val="32"/>
        </w:rPr>
        <w:t>，全力做强非木质林产品加工产业</w:t>
      </w:r>
      <w:r>
        <w:rPr>
          <w:rFonts w:hint="eastAsia" w:ascii="仿宋_GB2312" w:hAnsi="仿宋_GB2312" w:eastAsia="仿宋_GB2312" w:cs="仿宋_GB2312"/>
          <w:color w:val="auto"/>
          <w:sz w:val="32"/>
          <w:szCs w:val="32"/>
        </w:rPr>
        <w:t>，深度融合供应链、产业链、价值链，加快布局建设一批以林草产品精深加工为核心的产业集群，着力打造一批具有核心竞争力的龙头企业和专精特新企业。</w:t>
      </w:r>
    </w:p>
    <w:p w14:paraId="7238C416">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（三）积极培育新产业新业态</w:t>
      </w:r>
      <w:r>
        <w:rPr>
          <w:rFonts w:hint="eastAsia" w:ascii="仿宋_GB2312" w:hAnsi="仿宋_GB2312" w:eastAsia="仿宋_GB2312" w:cs="仿宋_GB2312"/>
          <w:color w:val="auto"/>
          <w:sz w:val="32"/>
          <w:szCs w:val="32"/>
        </w:rPr>
        <w:t>。依托全省森林、草原、湿地等优质生态景观及特色文化资源，探索推广生态旅游、自然教育、红色教育、森林康养、户外运动、花卉苗木、生态观鸟等林文旅融合新业态，建设一批林草生态文明实践基地、科普研学与自然教育基地，打造一批精品生态旅游地、精品线路与精品服务品牌，培育东中西部各具特色的精品生态旅游地。</w:t>
      </w:r>
      <w:r>
        <w:rPr>
          <w:rFonts w:hint="eastAsia" w:ascii="仿宋_GB2312" w:hAnsi="仿宋_GB2312" w:eastAsia="仿宋_GB2312" w:cs="仿宋_GB2312"/>
          <w:bCs/>
          <w:color w:val="auto"/>
          <w:sz w:val="32"/>
          <w:szCs w:val="32"/>
        </w:rPr>
        <w:t>支持发展林草生物质产业，积极打造无人机、机器狗等林草领域应用场景，努力拓展林草产业发展新领域。</w:t>
      </w:r>
    </w:p>
    <w:p w14:paraId="0529A00E">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（四）加快构建林草产业经营服务体系</w:t>
      </w:r>
      <w:r>
        <w:rPr>
          <w:rFonts w:hint="eastAsia" w:ascii="仿宋_GB2312" w:hAnsi="仿宋_GB2312" w:eastAsia="仿宋_GB2312" w:cs="仿宋_GB2312"/>
          <w:color w:val="auto"/>
          <w:sz w:val="32"/>
          <w:szCs w:val="32"/>
        </w:rPr>
        <w:t>。深入推进林特产业品牌培育，引导各地依托特色产业基础，培育具有地域标识度的区域公共品牌，重点打造一批市场影响力大、美誉度高的知名特色区域品牌。</w:t>
      </w:r>
      <w:r>
        <w:rPr>
          <w:rFonts w:hint="eastAsia" w:ascii="仿宋_GB2312" w:hAnsi="仿宋_GB2312" w:eastAsia="仿宋_GB2312" w:cs="仿宋_GB2312"/>
          <w:bCs/>
          <w:color w:val="auto"/>
          <w:sz w:val="32"/>
          <w:szCs w:val="32"/>
        </w:rPr>
        <w:t>创新产品营销流通模式，</w:t>
      </w:r>
      <w:r>
        <w:rPr>
          <w:rFonts w:hint="eastAsia" w:ascii="仿宋_GB2312" w:hAnsi="仿宋_GB2312" w:eastAsia="仿宋_GB2312" w:cs="仿宋_GB2312"/>
          <w:color w:val="auto"/>
          <w:sz w:val="32"/>
          <w:szCs w:val="32"/>
        </w:rPr>
        <w:t>推广订单购销、定制生产、直播带货、网络直销等营销新模式。打造林下经济“林业标准地”，招引社会资本进山入林，带动林草产业深度开发、融合发展。</w:t>
      </w:r>
    </w:p>
    <w:p w14:paraId="3CC1C974">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（五）推动大径级用材林营造培育建设力度</w:t>
      </w:r>
      <w:r>
        <w:rPr>
          <w:rFonts w:hint="eastAsia" w:ascii="仿宋_GB2312" w:hAnsi="仿宋_GB2312" w:eastAsia="仿宋_GB2312" w:cs="仿宋_GB2312"/>
          <w:color w:val="auto"/>
          <w:sz w:val="32"/>
          <w:szCs w:val="32"/>
        </w:rPr>
        <w:t>。</w:t>
      </w:r>
      <w:bookmarkStart w:id="31" w:name="OLE_LINK32"/>
      <w:bookmarkStart w:id="32" w:name="OLE_LINK19"/>
      <w:r>
        <w:rPr>
          <w:rFonts w:hint="eastAsia" w:ascii="仿宋_GB2312" w:hAnsi="仿宋_GB2312" w:eastAsia="仿宋_GB2312" w:cs="仿宋_GB2312"/>
          <w:color w:val="auto"/>
          <w:sz w:val="32"/>
          <w:szCs w:val="32"/>
        </w:rPr>
        <w:t>结合全省自然禀赋，优化调整国家储备林建设区域布局，精准培育提升森林质量，融合产业发展，创新建设机制，稳步提升国家木材战略储备能力。</w:t>
      </w:r>
      <w:bookmarkEnd w:id="31"/>
      <w:bookmarkEnd w:id="32"/>
    </w:p>
    <w:p w14:paraId="721163CC">
      <w:pPr>
        <w:widowControl w:val="0"/>
        <w:autoSpaceDE w:val="0"/>
        <w:spacing w:after="0" w:line="560" w:lineRule="exact"/>
        <w:ind w:left="0" w:right="0" w:firstLine="632" w:firstLineChars="200"/>
        <w:rPr>
          <w:rFonts w:ascii="黑体" w:hAnsi="黑体" w:eastAsia="黑体" w:cs="Times New Roman"/>
          <w:color w:val="auto"/>
          <w:sz w:val="32"/>
          <w:szCs w:val="32"/>
        </w:rPr>
      </w:pPr>
      <w:r>
        <w:rPr>
          <w:rFonts w:hint="eastAsia" w:ascii="黑体" w:hAnsi="黑体" w:eastAsia="黑体" w:cs="Times New Roman"/>
          <w:color w:val="auto"/>
          <w:sz w:val="32"/>
          <w:szCs w:val="32"/>
        </w:rPr>
        <w:t>六、深化重点领域改革</w:t>
      </w:r>
    </w:p>
    <w:p w14:paraId="184370E5">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bCs/>
          <w:color w:val="auto"/>
          <w:sz w:val="32"/>
          <w:szCs w:val="32"/>
        </w:rPr>
        <w:t>深化集体林权制度改革</w:t>
      </w:r>
      <w:r>
        <w:rPr>
          <w:rFonts w:hint="eastAsia" w:ascii="仿宋_GB2312" w:hAnsi="仿宋_GB2312" w:eastAsia="仿宋_GB2312" w:cs="仿宋_GB2312"/>
          <w:bCs/>
          <w:color w:val="auto"/>
          <w:sz w:val="32"/>
          <w:szCs w:val="32"/>
        </w:rPr>
        <w:t>。坚持机制活、产业优、百姓富、生态美，推进林业综合改革。</w:t>
      </w:r>
      <w:r>
        <w:rPr>
          <w:rFonts w:hint="eastAsia" w:ascii="仿宋_GB2312" w:hAnsi="仿宋_GB2312" w:eastAsia="仿宋_GB2312" w:cs="仿宋_GB2312"/>
          <w:color w:val="auto"/>
          <w:sz w:val="32"/>
          <w:szCs w:val="32"/>
        </w:rPr>
        <w:t>稳定集体林地承包权，加快放活经营权，探索建立林业经营收益权、林下空间经营权等衍生权利的确权、流转、融资机制。“探索‘分股不分山’等集体林地收益权量化到户模式”，引导国有林场、林业企业等与村集体和农户开展合作，带动集体林地适度规模经营和产业集群发展，着力提升规模化、集约化经营水平。</w:t>
      </w:r>
    </w:p>
    <w:p w14:paraId="34862440">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bCs/>
          <w:color w:val="auto"/>
          <w:sz w:val="32"/>
          <w:szCs w:val="32"/>
        </w:rPr>
        <w:t>（二）现代化国有林场建设和深化国有林区改革</w:t>
      </w:r>
      <w:r>
        <w:rPr>
          <w:rFonts w:hint="eastAsia" w:ascii="仿宋_GB2312" w:hAnsi="仿宋_GB2312" w:eastAsia="仿宋_GB2312" w:cs="仿宋_GB2312"/>
          <w:bCs/>
          <w:color w:val="auto"/>
          <w:sz w:val="32"/>
          <w:szCs w:val="32"/>
        </w:rPr>
        <w:t>。分类探索建立符合国有林场特点的收入分配激励机制，完善绩效考核制度，推进现代化国有林场建设。健全完善国有林区管理体制，</w:t>
      </w:r>
      <w:bookmarkStart w:id="33" w:name="OLE_LINK15"/>
      <w:r>
        <w:rPr>
          <w:rFonts w:hint="eastAsia" w:ascii="仿宋_GB2312" w:hAnsi="仿宋_GB2312" w:eastAsia="仿宋_GB2312" w:cs="仿宋_GB2312"/>
          <w:bCs/>
          <w:color w:val="auto"/>
          <w:sz w:val="32"/>
          <w:szCs w:val="32"/>
        </w:rPr>
        <w:t>推动国有森工企业增强核心功能、绿色转型发展</w:t>
      </w:r>
      <w:bookmarkEnd w:id="33"/>
      <w:r>
        <w:rPr>
          <w:rFonts w:hint="eastAsia" w:ascii="仿宋_GB2312" w:hAnsi="仿宋_GB2312" w:eastAsia="仿宋_GB2312" w:cs="仿宋_GB2312"/>
          <w:bCs/>
          <w:color w:val="auto"/>
          <w:sz w:val="32"/>
          <w:szCs w:val="32"/>
        </w:rPr>
        <w:t>。</w:t>
      </w:r>
      <w:bookmarkStart w:id="34" w:name="OLE_LINK36"/>
      <w:bookmarkStart w:id="35" w:name="OLE_LINK35"/>
      <w:r>
        <w:rPr>
          <w:rFonts w:hint="eastAsia" w:ascii="仿宋_GB2312" w:hAnsi="仿宋_GB2312" w:eastAsia="仿宋_GB2312" w:cs="仿宋_GB2312"/>
          <w:bCs/>
          <w:color w:val="auto"/>
          <w:sz w:val="32"/>
          <w:szCs w:val="32"/>
        </w:rPr>
        <w:t>推进涉农政策覆盖林场林区，推动林场林区道路、供水、供电、通信等基础设施建设，发挥林场林区对生态保护修复、产业发展、乡村全面振兴的支撑作用。探索国有森林资源资产有偿使用制度</w:t>
      </w:r>
      <w:bookmarkEnd w:id="34"/>
      <w:bookmarkEnd w:id="35"/>
      <w:r>
        <w:rPr>
          <w:rFonts w:hint="eastAsia" w:ascii="仿宋_GB2312" w:hAnsi="仿宋_GB2312" w:eastAsia="仿宋_GB2312" w:cs="仿宋_GB2312"/>
          <w:bCs/>
          <w:color w:val="auto"/>
          <w:sz w:val="32"/>
          <w:szCs w:val="32"/>
        </w:rPr>
        <w:t>，</w:t>
      </w:r>
      <w:bookmarkStart w:id="36" w:name="OLE_LINK38"/>
      <w:bookmarkStart w:id="37" w:name="OLE_LINK37"/>
      <w:r>
        <w:rPr>
          <w:rFonts w:hint="eastAsia" w:ascii="仿宋_GB2312" w:hAnsi="仿宋_GB2312" w:eastAsia="仿宋_GB2312" w:cs="仿宋_GB2312"/>
          <w:bCs/>
          <w:color w:val="auto"/>
          <w:sz w:val="32"/>
          <w:szCs w:val="32"/>
        </w:rPr>
        <w:t>发挥生态价值溢出</w:t>
      </w:r>
      <w:bookmarkEnd w:id="36"/>
      <w:bookmarkEnd w:id="37"/>
      <w:r>
        <w:rPr>
          <w:rFonts w:hint="eastAsia" w:ascii="仿宋_GB2312" w:hAnsi="仿宋_GB2312" w:eastAsia="仿宋_GB2312" w:cs="仿宋_GB2312"/>
          <w:bCs/>
          <w:color w:val="auto"/>
          <w:sz w:val="32"/>
          <w:szCs w:val="32"/>
        </w:rPr>
        <w:t>效应,推动生态优势向经济优势、发展优势的转化。</w:t>
      </w:r>
    </w:p>
    <w:p w14:paraId="0172472F">
      <w:pPr>
        <w:widowControl w:val="0"/>
        <w:autoSpaceDE w:val="0"/>
        <w:spacing w:after="0" w:line="560" w:lineRule="exact"/>
        <w:ind w:left="0" w:right="0" w:firstLine="632" w:firstLineChars="200"/>
        <w:rPr>
          <w:rFonts w:ascii="仿宋" w:hAnsi="仿宋" w:eastAsia="仿宋" w:cs="Times New Roman"/>
          <w:bCs/>
          <w:color w:val="auto"/>
          <w:sz w:val="32"/>
          <w:szCs w:val="32"/>
        </w:rPr>
      </w:pPr>
      <w:r>
        <w:rPr>
          <w:rFonts w:hint="eastAsia" w:ascii="楷体_GB2312" w:hAnsi="楷体_GB2312" w:eastAsia="楷体_GB2312" w:cs="楷体_GB2312"/>
          <w:color w:val="auto"/>
          <w:sz w:val="32"/>
          <w:szCs w:val="32"/>
        </w:rPr>
        <w:t>（三）强化</w:t>
      </w:r>
      <w:r>
        <w:rPr>
          <w:rFonts w:hint="eastAsia" w:ascii="楷体_GB2312" w:hAnsi="楷体_GB2312" w:eastAsia="楷体_GB2312" w:cs="楷体_GB2312"/>
          <w:bCs/>
          <w:color w:val="auto"/>
          <w:sz w:val="32"/>
          <w:szCs w:val="32"/>
        </w:rPr>
        <w:t>林草资源保护管理</w:t>
      </w:r>
      <w:r>
        <w:rPr>
          <w:rFonts w:hint="eastAsia" w:ascii="仿宋_GB2312" w:hAnsi="仿宋_GB2312" w:eastAsia="仿宋_GB2312" w:cs="仿宋_GB2312"/>
          <w:bCs/>
          <w:color w:val="auto"/>
          <w:sz w:val="32"/>
          <w:szCs w:val="32"/>
        </w:rPr>
        <w:t>。持续深化林长制改革，</w:t>
      </w:r>
      <w:r>
        <w:rPr>
          <w:rFonts w:hint="eastAsia" w:ascii="仿宋_GB2312" w:hAnsi="仿宋_GB2312" w:eastAsia="仿宋_GB2312" w:cs="仿宋_GB2312"/>
          <w:color w:val="auto"/>
          <w:sz w:val="32"/>
          <w:szCs w:val="32"/>
        </w:rPr>
        <w:t>发挥林长制引领作用，</w:t>
      </w:r>
      <w:r>
        <w:rPr>
          <w:rFonts w:hint="eastAsia" w:ascii="仿宋_GB2312" w:hAnsi="仿宋_GB2312" w:eastAsia="仿宋_GB2312" w:cs="仿宋_GB2312"/>
          <w:bCs/>
          <w:color w:val="auto"/>
          <w:sz w:val="32"/>
          <w:szCs w:val="32"/>
        </w:rPr>
        <w:t>压紧压实林草资源管护责任。深入开展林草资源管护问题集中整治，常态化开展林草资源督察和“绿盾”“清风”等专项行动，建立健全破坏林草资源问题预警监测制度，加强林草基层执法力量建设，及时打击和遏制破坏林草湿资源违法行为。</w:t>
      </w:r>
      <w:r>
        <w:rPr>
          <w:rFonts w:hint="eastAsia" w:ascii="仿宋_GB2312" w:hAnsi="仿宋_GB2312" w:eastAsia="仿宋_GB2312" w:cs="仿宋_GB2312"/>
          <w:color w:val="auto"/>
          <w:sz w:val="32"/>
          <w:szCs w:val="32"/>
        </w:rPr>
        <w:t>严格实行林地草地用途管制和林地定额、采伐限额制度，落实《直接为林业生产经营服务工程设施用地规范》，规范建设项目使用林地草地审核审批管理。林地定额原则上控制在9000公顷以内，草地定额原则上控制在1500公顷以内，</w:t>
      </w:r>
      <w:r>
        <w:rPr>
          <w:rFonts w:hint="eastAsia" w:ascii="仿宋_GB2312" w:hAnsi="仿宋_GB2312" w:eastAsia="仿宋_GB2312" w:cs="仿宋_GB2312"/>
          <w:sz w:val="32"/>
          <w:szCs w:val="32"/>
        </w:rPr>
        <w:t>从严管控道路沿线及景区等重点区域皆伐性质采伐</w:t>
      </w:r>
      <w:r>
        <w:rPr>
          <w:rFonts w:hint="eastAsia" w:ascii="仿宋_GB2312" w:hAnsi="仿宋_GB2312" w:eastAsia="仿宋_GB2312" w:cs="仿宋_GB2312"/>
          <w:color w:val="auto"/>
          <w:sz w:val="32"/>
          <w:szCs w:val="32"/>
        </w:rPr>
        <w:t>。落实落细国家级公益林、天然商品林保护修复补偿政策，实施</w:t>
      </w:r>
      <w:r>
        <w:rPr>
          <w:rFonts w:hint="eastAsia" w:ascii="仿宋_GB2312" w:hAnsi="仿宋_GB2312" w:eastAsia="仿宋_GB2312" w:cs="仿宋_GB2312"/>
          <w:bCs/>
          <w:color w:val="auto"/>
          <w:sz w:val="32"/>
          <w:szCs w:val="32"/>
        </w:rPr>
        <w:t>第四轮草原生态补奖政策，推进基本草原划定和保护管理，探索第二轮草原承包到期后延包制度。</w:t>
      </w:r>
      <w:r>
        <w:rPr>
          <w:rFonts w:hint="eastAsia" w:ascii="仿宋_GB2312" w:hAnsi="仿宋_GB2312" w:eastAsia="仿宋_GB2312" w:cs="仿宋_GB2312"/>
          <w:color w:val="auto"/>
          <w:sz w:val="32"/>
          <w:szCs w:val="32"/>
        </w:rPr>
        <w:t>统筹开展林草湿荒调查监测，落实与国土</w:t>
      </w:r>
      <w:r>
        <w:rPr>
          <w:rFonts w:hint="eastAsia" w:ascii="仿宋_GB2312" w:hAnsi="仿宋_GB2312" w:eastAsia="仿宋_GB2312" w:cs="仿宋_GB2312"/>
          <w:color w:val="auto"/>
          <w:sz w:val="32"/>
          <w:szCs w:val="32"/>
          <w:lang w:val="en-US" w:eastAsia="zh-CN"/>
        </w:rPr>
        <w:t>变更调查</w:t>
      </w:r>
      <w:r>
        <w:rPr>
          <w:rFonts w:hint="eastAsia" w:ascii="仿宋_GB2312" w:hAnsi="仿宋_GB2312" w:eastAsia="仿宋_GB2312" w:cs="仿宋_GB2312"/>
          <w:color w:val="auto"/>
          <w:sz w:val="32"/>
          <w:szCs w:val="32"/>
        </w:rPr>
        <w:t>协同机制，实现数据联动更新。</w:t>
      </w:r>
      <w:r>
        <w:rPr>
          <w:rFonts w:hint="eastAsia" w:ascii="仿宋_GB2312" w:hAnsi="仿宋_GB2312" w:eastAsia="仿宋_GB2312" w:cs="仿宋_GB2312"/>
          <w:bCs/>
          <w:color w:val="auto"/>
          <w:sz w:val="32"/>
          <w:szCs w:val="32"/>
        </w:rPr>
        <w:t>构建“天空地网”一体化监测体系，推动林草资源动态监管全覆盖。</w:t>
      </w:r>
    </w:p>
    <w:p w14:paraId="7BAAA0B9">
      <w:pPr>
        <w:widowControl w:val="0"/>
        <w:autoSpaceDE w:val="0"/>
        <w:spacing w:after="0" w:line="560" w:lineRule="exact"/>
        <w:ind w:left="0" w:right="0" w:firstLine="632" w:firstLineChars="200"/>
        <w:rPr>
          <w:rFonts w:ascii="黑体" w:hAnsi="黑体" w:eastAsia="黑体" w:cs="Times New Roman"/>
          <w:color w:val="auto"/>
          <w:sz w:val="32"/>
          <w:szCs w:val="32"/>
        </w:rPr>
      </w:pPr>
      <w:r>
        <w:rPr>
          <w:rFonts w:hint="eastAsia" w:ascii="黑体" w:hAnsi="黑体" w:eastAsia="黑体" w:cs="Times New Roman"/>
          <w:color w:val="auto"/>
          <w:sz w:val="32"/>
          <w:szCs w:val="32"/>
        </w:rPr>
        <w:t>七、守牢防风险、保安全底线</w:t>
      </w:r>
    </w:p>
    <w:p w14:paraId="18AC9A9E">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w:t>
      </w:r>
      <w:r>
        <w:rPr>
          <w:rFonts w:hint="eastAsia" w:ascii="楷体_GB2312" w:hAnsi="楷体_GB2312" w:eastAsia="楷体_GB2312" w:cs="楷体_GB2312"/>
          <w:bCs/>
          <w:color w:val="auto"/>
          <w:sz w:val="32"/>
          <w:szCs w:val="32"/>
        </w:rPr>
        <w:t>提高森林草原火灾防治能力</w:t>
      </w:r>
      <w:r>
        <w:rPr>
          <w:rFonts w:hint="eastAsia" w:ascii="仿宋_GB2312" w:hAnsi="仿宋_GB2312" w:eastAsia="仿宋_GB2312" w:cs="仿宋_GB2312"/>
          <w:bCs/>
          <w:color w:val="auto"/>
          <w:sz w:val="32"/>
          <w:szCs w:val="32"/>
        </w:rPr>
        <w:t>。加强森林草原防灭火能力建设，深化源头治理，完善长效机制，筑牢人民防线。加强防火道路、以水灭火、瞭望塔、通信基站等防灭火基础设施建设，加快补齐短板。建设完善防灭火平台，强化视频监控建设，加强无人机应用，健全卫星监测、航空巡护、视频监控、瞭望塔台、地面巡查“五位一体”监测网络，推动人防、物防、技防融合。强化装备建设，配齐配强常规防灭火装备，加强智能化、自动化装备配备，加大新特、高效装备引进推广力度。加强队伍建设管理，强化队伍营房、靠前驻防点和训练基地等基础设施保障，科学布局物资储备库，建立常态化培训演练机制，提升火灾预防和早期处置能力。</w:t>
      </w:r>
    </w:p>
    <w:p w14:paraId="1E62B26E">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color w:val="auto"/>
          <w:sz w:val="32"/>
          <w:szCs w:val="32"/>
        </w:rPr>
        <w:t>（二）加强林草有害生物防治</w:t>
      </w:r>
      <w:r>
        <w:rPr>
          <w:rFonts w:hint="eastAsia" w:ascii="仿宋_GB2312" w:hAnsi="仿宋_GB2312" w:eastAsia="仿宋_GB2312" w:cs="仿宋_GB2312"/>
          <w:color w:val="auto"/>
          <w:sz w:val="32"/>
          <w:szCs w:val="32"/>
        </w:rPr>
        <w:t>。开展松材线虫病防控攻坚，强化美国白蛾监测防治，推进日本松干蚧科学治理，严密监测落叶松毛虫、栗山天牛等常发性害虫，</w:t>
      </w:r>
      <w:bookmarkStart w:id="38" w:name="OLE_LINK24"/>
      <w:r>
        <w:rPr>
          <w:rFonts w:hint="eastAsia" w:ascii="仿宋_GB2312" w:hAnsi="仿宋_GB2312" w:eastAsia="仿宋_GB2312" w:cs="仿宋_GB2312"/>
          <w:color w:val="auto"/>
          <w:sz w:val="32"/>
          <w:szCs w:val="32"/>
        </w:rPr>
        <w:t>加强草原</w:t>
      </w:r>
      <w:bookmarkEnd w:id="38"/>
      <w:r>
        <w:rPr>
          <w:rFonts w:hint="eastAsia" w:ascii="仿宋_GB2312" w:hAnsi="仿宋_GB2312" w:eastAsia="仿宋_GB2312" w:cs="仿宋_GB2312"/>
          <w:color w:val="auto"/>
          <w:sz w:val="32"/>
          <w:szCs w:val="32"/>
        </w:rPr>
        <w:t>有害生物防治，保障全省林草生态安全</w:t>
      </w:r>
      <w:r>
        <w:rPr>
          <w:rFonts w:hint="eastAsia" w:ascii="仿宋_GB2312" w:hAnsi="仿宋_GB2312" w:eastAsia="仿宋_GB2312" w:cs="仿宋_GB2312"/>
          <w:bCs/>
          <w:color w:val="auto"/>
          <w:sz w:val="32"/>
          <w:szCs w:val="32"/>
        </w:rPr>
        <w:t>。加强生物安全管理，</w:t>
      </w:r>
      <w:bookmarkStart w:id="39" w:name="OLE_LINK26"/>
      <w:bookmarkStart w:id="40" w:name="OLE_LINK25"/>
      <w:r>
        <w:rPr>
          <w:rFonts w:hint="eastAsia" w:ascii="仿宋_GB2312" w:hAnsi="仿宋_GB2312" w:eastAsia="仿宋_GB2312" w:cs="仿宋_GB2312"/>
          <w:bCs/>
          <w:color w:val="auto"/>
          <w:sz w:val="32"/>
          <w:szCs w:val="32"/>
        </w:rPr>
        <w:t>防治外来物种侵害</w:t>
      </w:r>
      <w:bookmarkEnd w:id="39"/>
      <w:bookmarkEnd w:id="40"/>
      <w:r>
        <w:rPr>
          <w:rFonts w:hint="eastAsia" w:ascii="仿宋_GB2312" w:hAnsi="仿宋_GB2312" w:eastAsia="仿宋_GB2312" w:cs="仿宋_GB2312"/>
          <w:bCs/>
          <w:color w:val="auto"/>
          <w:sz w:val="32"/>
          <w:szCs w:val="32"/>
        </w:rPr>
        <w:t>。完善监测预警体系，</w:t>
      </w:r>
      <w:r>
        <w:rPr>
          <w:rFonts w:hint="eastAsia" w:ascii="仿宋_GB2312" w:hAnsi="仿宋_GB2312" w:eastAsia="仿宋_GB2312" w:cs="仿宋_GB2312"/>
          <w:color w:val="auto"/>
          <w:sz w:val="32"/>
          <w:szCs w:val="32"/>
        </w:rPr>
        <w:t>加强省、市、县三级应急物资储备库建设，升级改造省级及地区检测中心，指导重点区域建设实验室，强化联防联控和联合检疫执法，</w:t>
      </w:r>
      <w:r>
        <w:rPr>
          <w:rFonts w:hint="eastAsia" w:ascii="仿宋_GB2312" w:hAnsi="仿宋_GB2312" w:eastAsia="仿宋_GB2312" w:cs="仿宋_GB2312"/>
          <w:bCs/>
          <w:color w:val="auto"/>
          <w:sz w:val="32"/>
          <w:szCs w:val="32"/>
        </w:rPr>
        <w:t>健全防治减灾体系，提升防控和应急保障能力</w:t>
      </w:r>
      <w:r>
        <w:rPr>
          <w:rFonts w:hint="eastAsia" w:ascii="仿宋_GB2312" w:hAnsi="仿宋_GB2312" w:eastAsia="仿宋_GB2312" w:cs="仿宋_GB2312"/>
          <w:color w:val="auto"/>
          <w:sz w:val="32"/>
          <w:szCs w:val="32"/>
        </w:rPr>
        <w:t>。</w:t>
      </w:r>
    </w:p>
    <w:p w14:paraId="27257DC2">
      <w:pPr>
        <w:widowControl w:val="0"/>
        <w:autoSpaceDE w:val="0"/>
        <w:spacing w:after="0" w:line="560" w:lineRule="exact"/>
        <w:ind w:left="0" w:right="0" w:firstLine="632" w:firstLineChars="200"/>
        <w:rPr>
          <w:rFonts w:ascii="仿宋" w:hAnsi="仿宋" w:eastAsia="仿宋_GB2312" w:cs="Times New Roman"/>
          <w:color w:val="auto"/>
          <w:sz w:val="32"/>
          <w:szCs w:val="32"/>
        </w:rPr>
      </w:pPr>
      <w:r>
        <w:rPr>
          <w:rFonts w:hint="eastAsia" w:ascii="楷体_GB2312" w:hAnsi="楷体_GB2312" w:eastAsia="楷体_GB2312" w:cs="楷体_GB2312"/>
          <w:color w:val="auto"/>
          <w:sz w:val="32"/>
          <w:szCs w:val="32"/>
        </w:rPr>
        <w:t>（三）促进人与野生动物和谐共生</w:t>
      </w:r>
      <w:r>
        <w:rPr>
          <w:rFonts w:hint="eastAsia" w:ascii="仿宋_GB2312" w:hAnsi="仿宋_GB2312" w:eastAsia="仿宋_GB2312" w:cs="仿宋_GB2312"/>
          <w:color w:val="auto"/>
          <w:sz w:val="32"/>
          <w:szCs w:val="32"/>
        </w:rPr>
        <w:t>。在延边、白山、吉林、长白山保护区及重点森工企业等野生动物危害高发区域，建设东北虎豹等野生动物监测预警防控体系，提升风险预判与应急处置能力。持续深化野生动物损害补偿保险工作，优化申报、核查、赔付流程，提高补偿效率与精准度，切实保障人民群众合法权益，化解生态保护与生产生活矛盾。</w:t>
      </w:r>
    </w:p>
    <w:p w14:paraId="46FF9307">
      <w:pPr>
        <w:widowControl w:val="0"/>
        <w:autoSpaceDE w:val="0"/>
        <w:spacing w:after="0" w:line="560" w:lineRule="exact"/>
        <w:ind w:left="0" w:right="0" w:firstLine="632" w:firstLineChars="200"/>
        <w:rPr>
          <w:rFonts w:ascii="黑体" w:hAnsi="黑体" w:eastAsia="黑体" w:cs="Times New Roman"/>
          <w:color w:val="auto"/>
          <w:sz w:val="32"/>
          <w:szCs w:val="32"/>
        </w:rPr>
      </w:pPr>
      <w:r>
        <w:rPr>
          <w:rFonts w:hint="eastAsia" w:ascii="黑体" w:hAnsi="黑体" w:eastAsia="黑体" w:cs="Times New Roman"/>
          <w:color w:val="auto"/>
          <w:sz w:val="32"/>
          <w:szCs w:val="32"/>
        </w:rPr>
        <w:t>八、强化科技创新和推广</w:t>
      </w:r>
    </w:p>
    <w:p w14:paraId="130E38D9">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（一）增</w:t>
      </w:r>
      <w:r>
        <w:rPr>
          <w:rFonts w:hint="eastAsia" w:ascii="楷体_GB2312" w:hAnsi="楷体_GB2312" w:eastAsia="楷体_GB2312" w:cs="楷体_GB2312"/>
          <w:bCs/>
          <w:color w:val="auto"/>
          <w:sz w:val="32"/>
          <w:szCs w:val="32"/>
        </w:rPr>
        <w:t>强科技创新与推广能力</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健全省市县三级林草科技推广体系，发挥林草产业创新联盟作用，加强林草原始创新和关键核心技术攻坚。重点围绕“三北”工程、集体林改、国家公园、林草产业等科技支撑需要，在林草良种繁育和资源培育、林草资源创新利用、森林经营、碳汇监测、经济林和林下经济、生态保护修复、林草灾害防控、木竹加工和高值化利用、装备和信息化等领域开展先进、成熟、实用林草科技成果推广示范。</w:t>
      </w:r>
    </w:p>
    <w:p w14:paraId="5C5D5824">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（二）加强科技人才队伍建设</w:t>
      </w:r>
      <w:r>
        <w:rPr>
          <w:rFonts w:hint="eastAsia" w:ascii="仿宋_GB2312" w:hAnsi="仿宋_GB2312" w:eastAsia="仿宋_GB2312" w:cs="仿宋_GB2312"/>
          <w:color w:val="auto"/>
          <w:sz w:val="32"/>
          <w:szCs w:val="32"/>
        </w:rPr>
        <w:t>。实施林草科技创新人才计划，加大人才培养和引进力度，指导各科研单位搭建林草科技人才层级体系，筛选林草科技创新拔尖人才、林草科技创新领军人才，组建林草科技创新团队。推动涉林草高校院所紧扣林草产业链需求建强学科，着力培养复合型人才。完善基层科技人员培养、使用、激励机制，拓宽发展空间，打造懂技术、会推广、留得住、用得好的基层骨干队伍。构建林草企业、合作社及林农“线上+线下”培训体系，依托示范基地开设“林间课堂”，传授林下种植、病虫害防治等实用技能。</w:t>
      </w:r>
    </w:p>
    <w:p w14:paraId="4F167615">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color w:val="auto"/>
          <w:sz w:val="32"/>
          <w:szCs w:val="32"/>
        </w:rPr>
        <w:t>（三）提升数智化支撑服务能力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Cs/>
          <w:color w:val="auto"/>
          <w:sz w:val="32"/>
          <w:szCs w:val="32"/>
        </w:rPr>
        <w:t>锚定高质量发展目标，以新一代信息技术赋能林草生态保护与产业发展。建立区域技术服务协同机制，建强基层信息化组织体系，动态调整数智化评价指标体系，形成全省数智林草应用“一盘棋”格局。推动“宽带林草”建设任务落实，提升林草基础网络覆盖度。汇聚数据资源，实施分类分级管理，促进业务协同与数据共享。推动林草政务服务融入全省智慧政务体系。丰富数智化业务场景，巩固“感知生态 智慧林草”东北地区示范工程建设成果，探索实施吉林长白山森工集团数智森林建设工程。依托林草云平台，加快资源管理、防火防虫、生态旅游等核心业务模块开发，建成并推广“全域感知、智能决策”省级数智林草平台</w:t>
      </w:r>
      <w:r>
        <w:rPr>
          <w:rFonts w:hint="eastAsia" w:ascii="仿宋_GB2312" w:hAnsi="仿宋_GB2312" w:eastAsia="仿宋_GB2312" w:cs="仿宋_GB2312"/>
          <w:color w:val="auto"/>
          <w:sz w:val="32"/>
          <w:szCs w:val="32"/>
        </w:rPr>
        <w:t>。强化网络安全与运维服务体系建设。</w:t>
      </w:r>
    </w:p>
    <w:p w14:paraId="79C7A53D">
      <w:pPr>
        <w:widowControl w:val="0"/>
        <w:autoSpaceDE w:val="0"/>
        <w:spacing w:after="0" w:line="560" w:lineRule="exact"/>
        <w:ind w:left="0" w:right="0" w:firstLine="632" w:firstLineChars="200"/>
        <w:rPr>
          <w:rFonts w:ascii="黑体" w:hAnsi="黑体" w:eastAsia="黑体" w:cs="Times New Roman"/>
          <w:bCs/>
          <w:color w:val="auto"/>
          <w:sz w:val="32"/>
          <w:szCs w:val="32"/>
        </w:rPr>
      </w:pPr>
      <w:r>
        <w:rPr>
          <w:rFonts w:hint="eastAsia" w:ascii="黑体" w:hAnsi="黑体" w:eastAsia="黑体" w:cs="Times New Roman"/>
          <w:bCs/>
          <w:color w:val="auto"/>
          <w:sz w:val="32"/>
          <w:szCs w:val="32"/>
        </w:rPr>
        <w:t>九、强化规划实施保障</w:t>
      </w:r>
    </w:p>
    <w:p w14:paraId="38D236F9">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bCs/>
          <w:color w:val="auto"/>
          <w:sz w:val="32"/>
          <w:szCs w:val="32"/>
        </w:rPr>
        <w:t>（一）加强党的领导</w:t>
      </w:r>
      <w:r>
        <w:rPr>
          <w:rFonts w:hint="eastAsia" w:ascii="仿宋_GB2312" w:hAnsi="仿宋_GB2312" w:eastAsia="仿宋_GB2312" w:cs="仿宋_GB2312"/>
          <w:color w:val="auto"/>
          <w:sz w:val="32"/>
          <w:szCs w:val="32"/>
        </w:rPr>
        <w:t>。坚持党对林草工作的全面领导，推动党中央和省委、省政府决策部署贯彻落实。持续构建党委领导、政府负责、部门协作、社会协同、公众参与的治理体制，形成全社会推动规划实施的强大合力。持续推进“林长制”走深走实，完善林长制巡林、会议等制度，深化“林长+检察长”“林长+警长”等协作机制，不断推进公益诉讼和资源监管协作，为林草高水平保护和高质量发展提供有力保障。</w:t>
      </w:r>
    </w:p>
    <w:p w14:paraId="29E40FD5">
      <w:pPr>
        <w:widowControl w:val="0"/>
        <w:autoSpaceDE w:val="0"/>
        <w:spacing w:after="0" w:line="560" w:lineRule="exact"/>
        <w:ind w:left="0" w:right="0" w:firstLine="632" w:firstLineChars="200"/>
        <w:rPr>
          <w:rFonts w:ascii="仿宋" w:hAnsi="仿宋" w:eastAsia="仿宋" w:cs="Times New Roman"/>
          <w:color w:val="auto"/>
          <w:sz w:val="32"/>
          <w:szCs w:val="32"/>
        </w:rPr>
      </w:pPr>
      <w:r>
        <w:rPr>
          <w:rFonts w:hint="eastAsia" w:ascii="楷体_GB2312" w:hAnsi="楷体_GB2312" w:eastAsia="楷体_GB2312" w:cs="楷体_GB2312"/>
          <w:bCs/>
          <w:color w:val="auto"/>
          <w:sz w:val="32"/>
          <w:szCs w:val="32"/>
        </w:rPr>
        <w:t>（二）完善林草法治建设</w:t>
      </w:r>
      <w:r>
        <w:rPr>
          <w:rFonts w:hint="eastAsia" w:ascii="仿宋_GB2312" w:hAnsi="仿宋_GB2312" w:eastAsia="仿宋_GB2312" w:cs="仿宋_GB2312"/>
          <w:color w:val="auto"/>
          <w:sz w:val="32"/>
          <w:szCs w:val="32"/>
        </w:rPr>
        <w:t>。健全法规制度体系，加快修订完善地方法规规章，构建与国家法律法规相衔接的制度体系。聚焦林草动态监测、古树名木保护、生态修复管理、行政执法程序等关键事项，制定配套地方规章，补齐制度短板。健全生态损害赔偿制度，建立“谁破坏、谁赔偿、谁修复”责任追究机制。深化林草行政执法与司法衔接，构建权责明晰、协同高效的依法管林护林格局。加强执法队伍建设，提升专业素养与执法能力，规范执法流程。开展林草法治“进乡村、进企业、进社区”活动，加强普法宣传，提升全民生态法治意识。</w:t>
      </w:r>
    </w:p>
    <w:p w14:paraId="17EE6656">
      <w:pPr>
        <w:widowControl w:val="0"/>
        <w:autoSpaceDE w:val="0"/>
        <w:spacing w:after="0" w:line="560" w:lineRule="exact"/>
        <w:ind w:left="0" w:right="0" w:firstLine="632" w:firstLineChars="200"/>
        <w:rPr>
          <w:rFonts w:ascii="仿宋" w:hAnsi="仿宋" w:eastAsia="仿宋" w:cs="Times New Roman"/>
          <w:bCs/>
          <w:color w:val="auto"/>
          <w:sz w:val="32"/>
          <w:szCs w:val="32"/>
        </w:rPr>
      </w:pPr>
      <w:r>
        <w:rPr>
          <w:rFonts w:hint="eastAsia" w:ascii="楷体_GB2312" w:hAnsi="楷体_GB2312" w:eastAsia="楷体_GB2312" w:cs="楷体_GB2312"/>
          <w:bCs/>
          <w:color w:val="auto"/>
          <w:sz w:val="32"/>
          <w:szCs w:val="32"/>
        </w:rPr>
        <w:t>（三）建立规划落实体系</w:t>
      </w:r>
      <w:r>
        <w:rPr>
          <w:rFonts w:hint="eastAsia" w:ascii="仿宋_GB2312" w:hAnsi="仿宋_GB2312" w:eastAsia="仿宋_GB2312" w:cs="仿宋_GB2312"/>
          <w:bCs/>
          <w:color w:val="auto"/>
          <w:sz w:val="32"/>
          <w:szCs w:val="32"/>
        </w:rPr>
        <w:t>。强化规划引领，推动多规合一，建立国家、省级、市县级规划体系。建立省级统筹推进机制，压实属地管理责任和部门监管责任，构建统筹协调、分工明确、闭环推进工作体系。加强与自然资源、生态环境、水利、农业农村、交通运输等部门的沟通衔接，推动林草规划与国土空间、生态环保、道路交通等规划的衔接协同。加强规划动态评估，建立监测—评估—调整闭环管理机制，结合发展实际与生态需求优化规划内容，确保规划始终发挥引领指导作用。</w:t>
      </w:r>
    </w:p>
    <w:p w14:paraId="13CF1D81">
      <w:pPr>
        <w:widowControl w:val="0"/>
        <w:autoSpaceDE w:val="0"/>
        <w:spacing w:after="0" w:line="560" w:lineRule="exact"/>
        <w:ind w:left="0" w:right="0" w:firstLine="632" w:firstLineChars="200"/>
        <w:rPr>
          <w:rFonts w:ascii="仿宋" w:hAnsi="仿宋" w:eastAsia="仿宋" w:cs="Times New Roman"/>
          <w:bCs/>
          <w:color w:val="auto"/>
          <w:sz w:val="32"/>
          <w:szCs w:val="32"/>
        </w:rPr>
      </w:pPr>
      <w:r>
        <w:rPr>
          <w:rFonts w:hint="eastAsia" w:ascii="楷体_GB2312" w:hAnsi="楷体_GB2312" w:eastAsia="楷体_GB2312" w:cs="楷体_GB2312"/>
          <w:bCs/>
          <w:color w:val="auto"/>
          <w:sz w:val="32"/>
          <w:szCs w:val="32"/>
        </w:rPr>
        <w:t>（四）强化政策资金保障</w:t>
      </w:r>
      <w:r>
        <w:rPr>
          <w:rFonts w:hint="eastAsia" w:ascii="仿宋_GB2312" w:hAnsi="仿宋_GB2312" w:eastAsia="仿宋_GB2312" w:cs="仿宋_GB2312"/>
          <w:bCs/>
          <w:color w:val="auto"/>
          <w:sz w:val="32"/>
          <w:szCs w:val="32"/>
        </w:rPr>
        <w:t>。统筹重大工程建设与生态保护，围绕重点工程和重点任务落实，高效配置财政、金融、产业等政策，强化林地定额、采伐限额等要素资源的调控和保障。加强资金、项目监管，提高资金使用效益，建立长效监管机制。</w:t>
      </w:r>
    </w:p>
    <w:p w14:paraId="651839F2">
      <w:pPr>
        <w:widowControl w:val="0"/>
        <w:autoSpaceDE w:val="0"/>
        <w:spacing w:after="0" w:line="560" w:lineRule="exact"/>
        <w:ind w:left="0" w:right="0" w:firstLine="632" w:firstLineChars="200"/>
        <w:rPr>
          <w:rFonts w:ascii="仿宋_GB2312" w:hAnsi="仿宋_GB2312" w:eastAsia="仿宋_GB2312" w:cs="仿宋_GB2312"/>
          <w:color w:val="auto"/>
          <w:sz w:val="32"/>
          <w:szCs w:val="32"/>
        </w:rPr>
      </w:pPr>
      <w:r>
        <w:rPr>
          <w:rFonts w:hint="eastAsia" w:ascii="楷体_GB2312" w:hAnsi="楷体_GB2312" w:eastAsia="楷体_GB2312" w:cs="楷体_GB2312"/>
          <w:bCs/>
          <w:color w:val="auto"/>
          <w:sz w:val="32"/>
          <w:szCs w:val="32"/>
        </w:rPr>
        <w:t>（五）全面弘扬生态文化</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加强习近平生态文明思想的学习宣传，多维度宣传普及生态文明思想的核心要义。创新宣传形式和载体，结合“世界环境日”“植树节”等节点开展主题活动，组织开展好林草进学校、进社区、进企业等宣传活动。及时总结宣传林草先进典型与成功案例，</w:t>
      </w:r>
      <w:bookmarkStart w:id="41" w:name="OLE_LINK41"/>
      <w:bookmarkStart w:id="42" w:name="OLE_LINK42"/>
      <w:r>
        <w:rPr>
          <w:rFonts w:hint="eastAsia" w:ascii="仿宋_GB2312" w:hAnsi="仿宋_GB2312" w:eastAsia="仿宋_GB2312" w:cs="仿宋_GB2312"/>
          <w:color w:val="auto"/>
          <w:sz w:val="32"/>
          <w:szCs w:val="32"/>
        </w:rPr>
        <w:t>弘扬林草精神，讲好林草故事</w:t>
      </w:r>
      <w:bookmarkEnd w:id="41"/>
      <w:bookmarkEnd w:id="42"/>
      <w:r>
        <w:rPr>
          <w:rFonts w:hint="eastAsia" w:ascii="仿宋_GB2312" w:hAnsi="仿宋_GB2312" w:eastAsia="仿宋_GB2312" w:cs="仿宋_GB2312"/>
          <w:color w:val="auto"/>
          <w:sz w:val="32"/>
          <w:szCs w:val="32"/>
        </w:rPr>
        <w:t>，引领社会形成“尊重自然、顺应自然、保护自然”的良好风尚。</w:t>
      </w:r>
    </w:p>
    <w:p w14:paraId="676CF10B">
      <w:pPr>
        <w:widowControl w:val="0"/>
        <w:autoSpaceDE w:val="0"/>
        <w:spacing w:after="0" w:line="240" w:lineRule="auto"/>
        <w:ind w:left="0" w:right="0" w:firstLine="632" w:firstLineChars="200"/>
        <w:rPr>
          <w:rFonts w:ascii="仿宋_GB2312" w:hAnsi="仿宋_GB2312" w:eastAsia="仿宋_GB2312" w:cs="仿宋_GB2312"/>
          <w:color w:val="auto"/>
          <w:sz w:val="32"/>
          <w:szCs w:val="32"/>
        </w:rPr>
      </w:pPr>
    </w:p>
    <w:sectPr>
      <w:footerReference r:id="rId5" w:type="default"/>
      <w:pgSz w:w="11905" w:h="16838"/>
      <w:pgMar w:top="2098" w:right="1531" w:bottom="1984" w:left="1531" w:header="850" w:footer="850" w:gutter="0"/>
      <w:cols w:space="0" w:num="1"/>
      <w:formProt w:val="0"/>
      <w:docGrid w:type="linesAndChars" w:linePitch="579" w:charSpace="-8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0767055"/>
    </w:sdtPr>
    <w:sdtContent>
      <w:p w14:paraId="44ED1281">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15</w:t>
        </w:r>
        <w:r>
          <w:rPr>
            <w:rFonts w:ascii="Times New Roman" w:hAnsi="Times New Roman" w:cs="Times New Roman"/>
            <w:sz w:val="21"/>
            <w:szCs w:val="21"/>
          </w:rPr>
          <w:fldChar w:fldCharType="end"/>
        </w:r>
      </w:p>
    </w:sdtContent>
  </w:sdt>
  <w:p w14:paraId="09CB3DE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27" w:lineRule="auto"/>
      </w:pPr>
      <w:r>
        <w:separator/>
      </w:r>
    </w:p>
  </w:footnote>
  <w:footnote w:type="continuationSeparator" w:id="1">
    <w:p>
      <w:pPr>
        <w:spacing w:before="0" w:after="0" w:line="227"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31AF9"/>
    <w:rsid w:val="000039C8"/>
    <w:rsid w:val="00006F55"/>
    <w:rsid w:val="00011B52"/>
    <w:rsid w:val="000332FB"/>
    <w:rsid w:val="00033849"/>
    <w:rsid w:val="000352D9"/>
    <w:rsid w:val="000543CD"/>
    <w:rsid w:val="00075503"/>
    <w:rsid w:val="0007749B"/>
    <w:rsid w:val="00091380"/>
    <w:rsid w:val="00093D18"/>
    <w:rsid w:val="000969FA"/>
    <w:rsid w:val="000B46AB"/>
    <w:rsid w:val="000E07AB"/>
    <w:rsid w:val="000F47D9"/>
    <w:rsid w:val="001043DD"/>
    <w:rsid w:val="00106DEE"/>
    <w:rsid w:val="00116B4E"/>
    <w:rsid w:val="00145241"/>
    <w:rsid w:val="00146730"/>
    <w:rsid w:val="00152F6A"/>
    <w:rsid w:val="00162F86"/>
    <w:rsid w:val="00166639"/>
    <w:rsid w:val="00175A79"/>
    <w:rsid w:val="001A3F30"/>
    <w:rsid w:val="001B1EEA"/>
    <w:rsid w:val="001B6148"/>
    <w:rsid w:val="001C1784"/>
    <w:rsid w:val="001C236C"/>
    <w:rsid w:val="001D08E0"/>
    <w:rsid w:val="001D6138"/>
    <w:rsid w:val="001E4AAB"/>
    <w:rsid w:val="001F139B"/>
    <w:rsid w:val="0021199D"/>
    <w:rsid w:val="00216244"/>
    <w:rsid w:val="00235AC0"/>
    <w:rsid w:val="00244C9B"/>
    <w:rsid w:val="0024710D"/>
    <w:rsid w:val="00251D56"/>
    <w:rsid w:val="002649C2"/>
    <w:rsid w:val="00267457"/>
    <w:rsid w:val="00272743"/>
    <w:rsid w:val="00280EDA"/>
    <w:rsid w:val="00295C4C"/>
    <w:rsid w:val="002A30FC"/>
    <w:rsid w:val="002B410A"/>
    <w:rsid w:val="002B4FBA"/>
    <w:rsid w:val="002B7C4C"/>
    <w:rsid w:val="002D6392"/>
    <w:rsid w:val="00307223"/>
    <w:rsid w:val="003157F8"/>
    <w:rsid w:val="003217C7"/>
    <w:rsid w:val="00342E96"/>
    <w:rsid w:val="0035389B"/>
    <w:rsid w:val="00356750"/>
    <w:rsid w:val="0037175E"/>
    <w:rsid w:val="00387196"/>
    <w:rsid w:val="0039636D"/>
    <w:rsid w:val="00397ABD"/>
    <w:rsid w:val="003B0C62"/>
    <w:rsid w:val="003B42B5"/>
    <w:rsid w:val="003B4DE6"/>
    <w:rsid w:val="003C20C5"/>
    <w:rsid w:val="003C2BB8"/>
    <w:rsid w:val="003D14AB"/>
    <w:rsid w:val="003D7A8B"/>
    <w:rsid w:val="003E5D49"/>
    <w:rsid w:val="003F7A05"/>
    <w:rsid w:val="00412B97"/>
    <w:rsid w:val="00416D3B"/>
    <w:rsid w:val="00424C4A"/>
    <w:rsid w:val="004363DC"/>
    <w:rsid w:val="00454804"/>
    <w:rsid w:val="00460A64"/>
    <w:rsid w:val="00481192"/>
    <w:rsid w:val="0048131B"/>
    <w:rsid w:val="00493EB5"/>
    <w:rsid w:val="004954E3"/>
    <w:rsid w:val="004A4692"/>
    <w:rsid w:val="004C248D"/>
    <w:rsid w:val="004C2EBD"/>
    <w:rsid w:val="004D2579"/>
    <w:rsid w:val="004D5981"/>
    <w:rsid w:val="004F0BC7"/>
    <w:rsid w:val="005023FE"/>
    <w:rsid w:val="00502FD2"/>
    <w:rsid w:val="0051503E"/>
    <w:rsid w:val="00521823"/>
    <w:rsid w:val="00576614"/>
    <w:rsid w:val="00595DAB"/>
    <w:rsid w:val="005B218C"/>
    <w:rsid w:val="005C04C9"/>
    <w:rsid w:val="005C5DB3"/>
    <w:rsid w:val="005D6569"/>
    <w:rsid w:val="005E447B"/>
    <w:rsid w:val="006225AC"/>
    <w:rsid w:val="00624629"/>
    <w:rsid w:val="00625A31"/>
    <w:rsid w:val="00646A2D"/>
    <w:rsid w:val="006529DB"/>
    <w:rsid w:val="00661803"/>
    <w:rsid w:val="00672D42"/>
    <w:rsid w:val="00676A54"/>
    <w:rsid w:val="00683A60"/>
    <w:rsid w:val="006911DA"/>
    <w:rsid w:val="00691C78"/>
    <w:rsid w:val="006938EE"/>
    <w:rsid w:val="006963E3"/>
    <w:rsid w:val="00696AE9"/>
    <w:rsid w:val="006B7FF7"/>
    <w:rsid w:val="006C5E6A"/>
    <w:rsid w:val="006E16AA"/>
    <w:rsid w:val="006E20C1"/>
    <w:rsid w:val="006E4FE1"/>
    <w:rsid w:val="00711920"/>
    <w:rsid w:val="00723DA4"/>
    <w:rsid w:val="0072503B"/>
    <w:rsid w:val="007254A7"/>
    <w:rsid w:val="00734D8B"/>
    <w:rsid w:val="007421DE"/>
    <w:rsid w:val="007451DB"/>
    <w:rsid w:val="0075157F"/>
    <w:rsid w:val="00752DE0"/>
    <w:rsid w:val="00761385"/>
    <w:rsid w:val="0077101D"/>
    <w:rsid w:val="007867BC"/>
    <w:rsid w:val="007A792F"/>
    <w:rsid w:val="007B7E1C"/>
    <w:rsid w:val="007D42F3"/>
    <w:rsid w:val="007D51E1"/>
    <w:rsid w:val="007E4DB7"/>
    <w:rsid w:val="008027EF"/>
    <w:rsid w:val="00812FD9"/>
    <w:rsid w:val="00843F75"/>
    <w:rsid w:val="00850BE2"/>
    <w:rsid w:val="00854066"/>
    <w:rsid w:val="00857673"/>
    <w:rsid w:val="00867C70"/>
    <w:rsid w:val="0087459A"/>
    <w:rsid w:val="008801CB"/>
    <w:rsid w:val="00883544"/>
    <w:rsid w:val="00895AC2"/>
    <w:rsid w:val="008A72F0"/>
    <w:rsid w:val="008D5FA3"/>
    <w:rsid w:val="008E34B7"/>
    <w:rsid w:val="008F7434"/>
    <w:rsid w:val="00900514"/>
    <w:rsid w:val="009531CB"/>
    <w:rsid w:val="009678F6"/>
    <w:rsid w:val="00967EF3"/>
    <w:rsid w:val="0097203D"/>
    <w:rsid w:val="00983790"/>
    <w:rsid w:val="0099313D"/>
    <w:rsid w:val="009A2C83"/>
    <w:rsid w:val="009A2F4C"/>
    <w:rsid w:val="009A7F21"/>
    <w:rsid w:val="009B0745"/>
    <w:rsid w:val="009C440B"/>
    <w:rsid w:val="009D42E6"/>
    <w:rsid w:val="009D52D7"/>
    <w:rsid w:val="009D6190"/>
    <w:rsid w:val="009E32FB"/>
    <w:rsid w:val="009E369B"/>
    <w:rsid w:val="009E4D18"/>
    <w:rsid w:val="009F47F1"/>
    <w:rsid w:val="00A069CA"/>
    <w:rsid w:val="00A217DC"/>
    <w:rsid w:val="00A46ECC"/>
    <w:rsid w:val="00A51922"/>
    <w:rsid w:val="00A6189C"/>
    <w:rsid w:val="00A7179D"/>
    <w:rsid w:val="00A7329C"/>
    <w:rsid w:val="00A743B6"/>
    <w:rsid w:val="00A9111E"/>
    <w:rsid w:val="00A96762"/>
    <w:rsid w:val="00A967F6"/>
    <w:rsid w:val="00AA0077"/>
    <w:rsid w:val="00AA3542"/>
    <w:rsid w:val="00AA4813"/>
    <w:rsid w:val="00AA62B8"/>
    <w:rsid w:val="00AB1677"/>
    <w:rsid w:val="00AD319F"/>
    <w:rsid w:val="00AE5B85"/>
    <w:rsid w:val="00AF4D45"/>
    <w:rsid w:val="00B10842"/>
    <w:rsid w:val="00B25675"/>
    <w:rsid w:val="00B25BCD"/>
    <w:rsid w:val="00B426DE"/>
    <w:rsid w:val="00B43BB2"/>
    <w:rsid w:val="00B45C84"/>
    <w:rsid w:val="00B47CEA"/>
    <w:rsid w:val="00B755F6"/>
    <w:rsid w:val="00B94E95"/>
    <w:rsid w:val="00BD6551"/>
    <w:rsid w:val="00BF14F5"/>
    <w:rsid w:val="00BF47BE"/>
    <w:rsid w:val="00BF49F9"/>
    <w:rsid w:val="00C02D11"/>
    <w:rsid w:val="00C10419"/>
    <w:rsid w:val="00C144CF"/>
    <w:rsid w:val="00C145DF"/>
    <w:rsid w:val="00C2323C"/>
    <w:rsid w:val="00C473FF"/>
    <w:rsid w:val="00C61E95"/>
    <w:rsid w:val="00C77B17"/>
    <w:rsid w:val="00CA169D"/>
    <w:rsid w:val="00CC17FA"/>
    <w:rsid w:val="00CD451D"/>
    <w:rsid w:val="00CE4247"/>
    <w:rsid w:val="00CE7AD0"/>
    <w:rsid w:val="00D23883"/>
    <w:rsid w:val="00D3408F"/>
    <w:rsid w:val="00D43F38"/>
    <w:rsid w:val="00D56274"/>
    <w:rsid w:val="00D916C0"/>
    <w:rsid w:val="00D97FB1"/>
    <w:rsid w:val="00DA2C61"/>
    <w:rsid w:val="00DC07F5"/>
    <w:rsid w:val="00DC2834"/>
    <w:rsid w:val="00DD53A7"/>
    <w:rsid w:val="00DE7D73"/>
    <w:rsid w:val="00E203CA"/>
    <w:rsid w:val="00E22CA1"/>
    <w:rsid w:val="00E45BC6"/>
    <w:rsid w:val="00E60E71"/>
    <w:rsid w:val="00E62C70"/>
    <w:rsid w:val="00E678FB"/>
    <w:rsid w:val="00E854C9"/>
    <w:rsid w:val="00E85FC0"/>
    <w:rsid w:val="00E872D1"/>
    <w:rsid w:val="00E95ADE"/>
    <w:rsid w:val="00E9718B"/>
    <w:rsid w:val="00EB5BF0"/>
    <w:rsid w:val="00ED78E3"/>
    <w:rsid w:val="00EE1A4A"/>
    <w:rsid w:val="00EE604E"/>
    <w:rsid w:val="00EE68CD"/>
    <w:rsid w:val="00F0089F"/>
    <w:rsid w:val="00F04C13"/>
    <w:rsid w:val="00F10837"/>
    <w:rsid w:val="00F17833"/>
    <w:rsid w:val="00F34640"/>
    <w:rsid w:val="00F55EE6"/>
    <w:rsid w:val="00F617D7"/>
    <w:rsid w:val="00F66E47"/>
    <w:rsid w:val="00F75421"/>
    <w:rsid w:val="00F81CA2"/>
    <w:rsid w:val="00F830D7"/>
    <w:rsid w:val="00F87E3C"/>
    <w:rsid w:val="00FA2953"/>
    <w:rsid w:val="00FB1216"/>
    <w:rsid w:val="00FD3EB2"/>
    <w:rsid w:val="00FD68E8"/>
    <w:rsid w:val="00FE5B94"/>
    <w:rsid w:val="00FF75BE"/>
    <w:rsid w:val="01CA3AF6"/>
    <w:rsid w:val="039556C4"/>
    <w:rsid w:val="03AD58A1"/>
    <w:rsid w:val="049C1784"/>
    <w:rsid w:val="05D81F43"/>
    <w:rsid w:val="06E45A7E"/>
    <w:rsid w:val="07834AC4"/>
    <w:rsid w:val="092150D3"/>
    <w:rsid w:val="0933120A"/>
    <w:rsid w:val="0A6B2752"/>
    <w:rsid w:val="0ACC5085"/>
    <w:rsid w:val="10A97373"/>
    <w:rsid w:val="1166341B"/>
    <w:rsid w:val="12B74CC6"/>
    <w:rsid w:val="1688676B"/>
    <w:rsid w:val="17531447"/>
    <w:rsid w:val="195B5585"/>
    <w:rsid w:val="196C3F75"/>
    <w:rsid w:val="1C0C7B02"/>
    <w:rsid w:val="22761828"/>
    <w:rsid w:val="234C65BA"/>
    <w:rsid w:val="234F5BD5"/>
    <w:rsid w:val="23CB7F31"/>
    <w:rsid w:val="25506360"/>
    <w:rsid w:val="25DC297E"/>
    <w:rsid w:val="27585584"/>
    <w:rsid w:val="2AAA5337"/>
    <w:rsid w:val="2E983BDB"/>
    <w:rsid w:val="31727460"/>
    <w:rsid w:val="31E07961"/>
    <w:rsid w:val="31EE1471"/>
    <w:rsid w:val="32CE00B0"/>
    <w:rsid w:val="3417196C"/>
    <w:rsid w:val="347665C1"/>
    <w:rsid w:val="34B513B0"/>
    <w:rsid w:val="354B759C"/>
    <w:rsid w:val="36E76D91"/>
    <w:rsid w:val="384A6C3F"/>
    <w:rsid w:val="3A627531"/>
    <w:rsid w:val="3A634E6A"/>
    <w:rsid w:val="3D29177C"/>
    <w:rsid w:val="3F8B3E6A"/>
    <w:rsid w:val="3FFE4F71"/>
    <w:rsid w:val="40F31AF9"/>
    <w:rsid w:val="40F84914"/>
    <w:rsid w:val="413469D5"/>
    <w:rsid w:val="45B751DF"/>
    <w:rsid w:val="48B17073"/>
    <w:rsid w:val="490F1A7E"/>
    <w:rsid w:val="49902CB9"/>
    <w:rsid w:val="4A1D474D"/>
    <w:rsid w:val="4CF36167"/>
    <w:rsid w:val="4D341130"/>
    <w:rsid w:val="4DCD4142"/>
    <w:rsid w:val="54327A22"/>
    <w:rsid w:val="544A1E12"/>
    <w:rsid w:val="591063D1"/>
    <w:rsid w:val="5AA14C18"/>
    <w:rsid w:val="5AD647C1"/>
    <w:rsid w:val="5FCC3A4A"/>
    <w:rsid w:val="603E6924"/>
    <w:rsid w:val="62595DE7"/>
    <w:rsid w:val="62FF4946"/>
    <w:rsid w:val="67001F1C"/>
    <w:rsid w:val="679535FD"/>
    <w:rsid w:val="67B0631C"/>
    <w:rsid w:val="67E300F5"/>
    <w:rsid w:val="68C260D0"/>
    <w:rsid w:val="69431D6F"/>
    <w:rsid w:val="6AC87C1E"/>
    <w:rsid w:val="6BAB570D"/>
    <w:rsid w:val="6D516D3A"/>
    <w:rsid w:val="6E0950DD"/>
    <w:rsid w:val="70E51864"/>
    <w:rsid w:val="71487575"/>
    <w:rsid w:val="78771C50"/>
    <w:rsid w:val="787C3C3D"/>
    <w:rsid w:val="7DB02E05"/>
    <w:rsid w:val="7E786F03"/>
    <w:rsid w:val="7EFE4DA0"/>
    <w:rsid w:val="CFFE77D7"/>
    <w:rsid w:val="E77D8E69"/>
    <w:rsid w:val="EFE69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3" w:line="227" w:lineRule="auto"/>
      <w:ind w:left="53" w:right="67" w:hanging="10"/>
      <w:jc w:val="both"/>
    </w:pPr>
    <w:rPr>
      <w:rFonts w:ascii="微软雅黑" w:hAnsi="微软雅黑" w:eastAsia="微软雅黑" w:cs="微软雅黑"/>
      <w:color w:val="000000"/>
      <w:kern w:val="2"/>
      <w:sz w:val="28"/>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pPr>
      <w:spacing w:after="0" w:line="240" w:lineRule="auto"/>
    </w:pPr>
    <w:rPr>
      <w:sz w:val="18"/>
      <w:szCs w:val="18"/>
    </w:rPr>
  </w:style>
  <w:style w:type="paragraph" w:styleId="4">
    <w:name w:val="footer"/>
    <w:basedOn w:val="1"/>
    <w:link w:val="10"/>
    <w:qFormat/>
    <w:uiPriority w:val="99"/>
    <w:pPr>
      <w:tabs>
        <w:tab w:val="center" w:pos="4153"/>
        <w:tab w:val="right" w:pos="8306"/>
      </w:tabs>
      <w:snapToGrid w:val="0"/>
      <w:spacing w:line="240" w:lineRule="auto"/>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spacing w:line="240" w:lineRule="auto"/>
      <w:jc w:val="center"/>
    </w:pPr>
    <w:rPr>
      <w:sz w:val="18"/>
      <w:szCs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微软雅黑" w:hAnsi="微软雅黑" w:eastAsia="微软雅黑" w:cs="微软雅黑"/>
      <w:color w:val="000000"/>
      <w:kern w:val="2"/>
      <w:sz w:val="18"/>
      <w:szCs w:val="18"/>
    </w:rPr>
  </w:style>
  <w:style w:type="character" w:customStyle="1" w:styleId="10">
    <w:name w:val="页脚 字符"/>
    <w:basedOn w:val="8"/>
    <w:link w:val="4"/>
    <w:qFormat/>
    <w:uiPriority w:val="99"/>
    <w:rPr>
      <w:rFonts w:ascii="微软雅黑" w:hAnsi="微软雅黑" w:eastAsia="微软雅黑" w:cs="微软雅黑"/>
      <w:color w:val="000000"/>
      <w:kern w:val="2"/>
      <w:sz w:val="18"/>
      <w:szCs w:val="18"/>
    </w:rPr>
  </w:style>
  <w:style w:type="paragraph" w:styleId="11">
    <w:name w:val="List Paragraph"/>
    <w:basedOn w:val="1"/>
    <w:qFormat/>
    <w:uiPriority w:val="99"/>
    <w:pPr>
      <w:ind w:firstLine="420" w:firstLineChars="200"/>
    </w:pPr>
  </w:style>
  <w:style w:type="table" w:customStyle="1" w:styleId="12">
    <w:name w:val="网格型1"/>
    <w:basedOn w:val="6"/>
    <w:unhideWhenUsed/>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批注框文本 字符"/>
    <w:basedOn w:val="8"/>
    <w:link w:val="3"/>
    <w:qFormat/>
    <w:uiPriority w:val="0"/>
    <w:rPr>
      <w:rFonts w:ascii="微软雅黑" w:hAnsi="微软雅黑" w:eastAsia="微软雅黑" w:cs="微软雅黑"/>
      <w:color w:val="000000"/>
      <w:kern w:val="2"/>
      <w:sz w:val="18"/>
      <w:szCs w:val="18"/>
    </w:rPr>
  </w:style>
  <w:style w:type="paragraph" w:customStyle="1" w:styleId="14">
    <w:name w:val="修订1"/>
    <w:hidden/>
    <w:semiHidden/>
    <w:qFormat/>
    <w:uiPriority w:val="99"/>
    <w:rPr>
      <w:rFonts w:ascii="微软雅黑" w:hAnsi="微软雅黑" w:eastAsia="微软雅黑" w:cs="微软雅黑"/>
      <w:color w:val="000000"/>
      <w:kern w:val="2"/>
      <w:sz w:val="28"/>
      <w:szCs w:val="22"/>
      <w:lang w:val="en-US" w:eastAsia="zh-CN" w:bidi="ar-SA"/>
    </w:rPr>
  </w:style>
  <w:style w:type="character" w:customStyle="1" w:styleId="15">
    <w:name w:val="标题 1 字符"/>
    <w:basedOn w:val="8"/>
    <w:link w:val="2"/>
    <w:qFormat/>
    <w:uiPriority w:val="0"/>
    <w:rPr>
      <w:rFonts w:ascii="微软雅黑" w:hAnsi="微软雅黑" w:eastAsia="微软雅黑" w:cs="微软雅黑"/>
      <w:b/>
      <w:bCs/>
      <w:color w:val="000000"/>
      <w:kern w:val="44"/>
      <w:sz w:val="44"/>
      <w:szCs w:val="44"/>
    </w:rPr>
  </w:style>
  <w:style w:type="paragraph" w:customStyle="1" w:styleId="16">
    <w:name w:val="TOC 标题1"/>
    <w:basedOn w:val="2"/>
    <w:next w:val="1"/>
    <w:unhideWhenUsed/>
    <w:qFormat/>
    <w:uiPriority w:val="39"/>
    <w:pPr>
      <w:spacing w:before="240" w:after="0" w:line="259" w:lineRule="auto"/>
      <w:ind w:left="0" w:right="0" w:firstLine="0"/>
      <w:jc w:val="left"/>
      <w:outlineLvl w:val="9"/>
    </w:pPr>
    <w:rPr>
      <w:rFonts w:asciiTheme="majorHAnsi" w:hAnsiTheme="majorHAnsi" w:eastAsiaTheme="majorEastAsia" w:cstheme="majorBidi"/>
      <w:b w:val="0"/>
      <w:bCs w:val="0"/>
      <w:color w:val="2E54A1"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8EA58-D1AC-46C0-8842-75B672FF48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10166</Words>
  <Characters>10280</Characters>
  <Lines>79</Lines>
  <Paragraphs>22</Paragraphs>
  <TotalTime>156</TotalTime>
  <ScaleCrop>false</ScaleCrop>
  <LinksUpToDate>false</LinksUpToDate>
  <CharactersWithSpaces>10281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2026-06-14T17:35:00Z</dcterms:created>
  <dc:creator>恩泽</dc:creator>
  <cp:lastModifiedBy>恩泽</cp:lastModifiedBy>
  <cp:lastPrinted>2026-01-29T18:13:00Z</cp:lastPrinted>
  <dcterms:modified xsi:type="dcterms:W3CDTF">2026-08-24T05:57:55Z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84EA1D4851F245489B13B1EEE0BB7B41_13</vt:lpwstr>
  </property>
  <property fmtid="{D5CDD505-2E9C-101B-9397-08002B2CF9AE}" pid="4" name="KSOTemplateDocerSaveRecord">
    <vt:lpwstr>eyJoZGlkIjoiM2RmYWMxODJiMmFiMWM5YTIxZWMzYzRmNWNiY2Y2NTQiLCJ1c2VySWQiOiIzMjc0NjQ1NzIifQ==</vt:lpwstr>
  </property>
</Properties>
</file>